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B67719" w:rsidRDefault="006E49EA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Управління виробничими групами</w:t>
            </w:r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C82253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1F6007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C82253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1F6007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043F" w:rsidRPr="00F07825" w:rsidRDefault="00ED043F" w:rsidP="00F0782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825">
        <w:rPr>
          <w:rFonts w:ascii="Times New Roman" w:hAnsi="Times New Roman"/>
          <w:b/>
          <w:sz w:val="24"/>
          <w:szCs w:val="24"/>
          <w:lang w:val="uk-UA"/>
        </w:rPr>
        <w:t xml:space="preserve">1. Коротка анотація до дисципліни. 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У межах цього курсу здобувачі вищої освіти формують загальні та професійні компетентності, а саме опановують знання зі специфіки </w:t>
      </w:r>
      <w:r w:rsidR="00C822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управління виробничими групами</w:t>
      </w:r>
    </w:p>
    <w:p w:rsidR="00ED043F" w:rsidRPr="00F07825" w:rsidRDefault="00ED043F" w:rsidP="00F07825">
      <w:pPr>
        <w:tabs>
          <w:tab w:val="left" w:pos="540"/>
          <w:tab w:val="left" w:pos="900"/>
          <w:tab w:val="left" w:pos="1134"/>
        </w:tabs>
        <w:ind w:firstLine="737"/>
        <w:jc w:val="both"/>
        <w:rPr>
          <w:spacing w:val="-9"/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>Мета</w:t>
      </w:r>
      <w:r w:rsidRPr="00F07825">
        <w:rPr>
          <w:spacing w:val="-9"/>
          <w:sz w:val="24"/>
          <w:szCs w:val="24"/>
          <w:lang w:val="uk-UA"/>
        </w:rPr>
        <w:t xml:space="preserve"> викладання навчальної дисципліни </w:t>
      </w:r>
      <w:r w:rsidRPr="00F07825">
        <w:rPr>
          <w:sz w:val="24"/>
          <w:szCs w:val="24"/>
          <w:lang w:val="uk-UA"/>
        </w:rPr>
        <w:t xml:space="preserve">є </w:t>
      </w:r>
      <w:r w:rsidRPr="00F07825">
        <w:rPr>
          <w:spacing w:val="-2"/>
          <w:sz w:val="24"/>
          <w:szCs w:val="24"/>
          <w:lang w:val="uk-UA"/>
        </w:rPr>
        <w:t xml:space="preserve"> набуття </w:t>
      </w:r>
      <w:r w:rsidRPr="00F07825">
        <w:rPr>
          <w:sz w:val="24"/>
          <w:szCs w:val="24"/>
          <w:lang w:val="uk-UA"/>
        </w:rPr>
        <w:t xml:space="preserve"> базових знань з </w:t>
      </w:r>
      <w:r w:rsidR="00C82253">
        <w:rPr>
          <w:sz w:val="24"/>
          <w:szCs w:val="24"/>
          <w:lang w:val="uk-UA"/>
        </w:rPr>
        <w:t xml:space="preserve">управління виробничими групами в умовах </w:t>
      </w:r>
      <w:proofErr w:type="spellStart"/>
      <w:r w:rsidR="00C82253">
        <w:rPr>
          <w:sz w:val="24"/>
          <w:szCs w:val="24"/>
          <w:lang w:val="uk-UA"/>
        </w:rPr>
        <w:t>глобалізованого</w:t>
      </w:r>
      <w:proofErr w:type="spellEnd"/>
      <w:r w:rsidR="00C82253">
        <w:rPr>
          <w:sz w:val="24"/>
          <w:szCs w:val="24"/>
          <w:lang w:val="uk-UA"/>
        </w:rPr>
        <w:t xml:space="preserve"> ринку та постійних зовнішніх загроз.</w:t>
      </w:r>
    </w:p>
    <w:p w:rsidR="00ED043F" w:rsidRPr="00F07825" w:rsidRDefault="00ED043F" w:rsidP="00F07825">
      <w:pPr>
        <w:ind w:firstLine="708"/>
        <w:jc w:val="both"/>
        <w:rPr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 xml:space="preserve">Завдання: </w:t>
      </w:r>
      <w:r w:rsidRPr="00F07825">
        <w:rPr>
          <w:sz w:val="24"/>
          <w:szCs w:val="24"/>
          <w:lang w:val="uk-UA"/>
        </w:rPr>
        <w:t xml:space="preserve">ознайомлення з основними </w:t>
      </w:r>
      <w:r w:rsidR="00C82253">
        <w:rPr>
          <w:sz w:val="24"/>
          <w:szCs w:val="24"/>
          <w:lang w:val="uk-UA"/>
        </w:rPr>
        <w:t>поняттями управління виробничими групами</w:t>
      </w:r>
      <w:r w:rsidRPr="00F07825">
        <w:rPr>
          <w:sz w:val="24"/>
          <w:szCs w:val="24"/>
          <w:lang w:val="uk-UA"/>
        </w:rPr>
        <w:t>, ознайомлення з нормативними вимогами до суб’єктів туристичної діяльності, принципами зді</w:t>
      </w:r>
      <w:r w:rsidR="00C82253">
        <w:rPr>
          <w:sz w:val="24"/>
          <w:szCs w:val="24"/>
          <w:lang w:val="uk-UA"/>
        </w:rPr>
        <w:t xml:space="preserve">йснення туристичної діяльності </w:t>
      </w:r>
      <w:r w:rsidRPr="00F07825">
        <w:rPr>
          <w:sz w:val="24"/>
          <w:szCs w:val="24"/>
          <w:lang w:val="uk-UA"/>
        </w:rPr>
        <w:t>тощо</w:t>
      </w:r>
      <w:r w:rsidR="00C82253">
        <w:rPr>
          <w:sz w:val="24"/>
          <w:szCs w:val="24"/>
          <w:lang w:val="uk-UA"/>
        </w:rPr>
        <w:t>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C82253" w:rsidRPr="00C82253" w:rsidTr="00DE38C1">
        <w:tc>
          <w:tcPr>
            <w:tcW w:w="3794" w:type="dxa"/>
          </w:tcPr>
          <w:p w:rsidR="00C82253" w:rsidRPr="00320052" w:rsidRDefault="00C82253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C82253" w:rsidRPr="00B44F22" w:rsidRDefault="00C82253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C82253" w:rsidRDefault="00C82253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C82253" w:rsidRDefault="00C82253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C82253" w:rsidTr="00DE38C1">
        <w:tc>
          <w:tcPr>
            <w:tcW w:w="3794" w:type="dxa"/>
          </w:tcPr>
          <w:p w:rsidR="00C82253" w:rsidRPr="00B44F22" w:rsidRDefault="00C82253" w:rsidP="00BC74BE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2" w:type="dxa"/>
          </w:tcPr>
          <w:p w:rsidR="00C82253" w:rsidRDefault="00C82253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C82253" w:rsidRDefault="00C82253" w:rsidP="00DE38C1">
            <w:pPr>
              <w:pStyle w:val="a3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C82253" w:rsidRPr="00C82253" w:rsidTr="00DE38C1">
        <w:tc>
          <w:tcPr>
            <w:tcW w:w="3794" w:type="dxa"/>
          </w:tcPr>
          <w:p w:rsidR="00C82253" w:rsidRPr="00320052" w:rsidRDefault="00C82253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C82253" w:rsidRPr="00320052" w:rsidRDefault="00C82253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C82253" w:rsidRPr="00B44F22" w:rsidRDefault="00C82253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C82253" w:rsidRDefault="00C82253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C82253" w:rsidRDefault="00C82253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C82253" w:rsidTr="00DE38C1">
        <w:tc>
          <w:tcPr>
            <w:tcW w:w="3794" w:type="dxa"/>
          </w:tcPr>
          <w:p w:rsidR="00C82253" w:rsidRPr="00B44F22" w:rsidRDefault="00C82253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2" w:type="dxa"/>
          </w:tcPr>
          <w:p w:rsidR="00C82253" w:rsidRDefault="00C82253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C82253" w:rsidRDefault="00C82253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C82253" w:rsidRPr="00C82253" w:rsidTr="00DE38C1">
        <w:tc>
          <w:tcPr>
            <w:tcW w:w="3794" w:type="dxa"/>
          </w:tcPr>
          <w:p w:rsidR="00C82253" w:rsidRPr="00320052" w:rsidRDefault="00C82253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7. </w:t>
            </w:r>
            <w:r w:rsidRPr="00320052">
              <w:rPr>
                <w:sz w:val="24"/>
                <w:szCs w:val="24"/>
                <w:lang w:val="uk-UA"/>
              </w:rPr>
              <w:t>Здатність обирати та використовувати сучасний</w:t>
            </w:r>
          </w:p>
          <w:p w:rsidR="00C82253" w:rsidRPr="002568D0" w:rsidRDefault="00C82253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інструментарій менеджменту.</w:t>
            </w:r>
          </w:p>
        </w:tc>
        <w:tc>
          <w:tcPr>
            <w:tcW w:w="3402" w:type="dxa"/>
          </w:tcPr>
          <w:p w:rsidR="00C82253" w:rsidRDefault="00C82253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C82253" w:rsidRDefault="00C82253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6E49EA">
        <w:rPr>
          <w:rFonts w:eastAsiaTheme="minorEastAsia"/>
          <w:sz w:val="24"/>
          <w:szCs w:val="24"/>
          <w:lang w:val="uk-UA"/>
        </w:rPr>
        <w:t>Управління виробничими групами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«Вступ до спеціальності «Туризм»», «</w:t>
      </w:r>
      <w:r>
        <w:rPr>
          <w:sz w:val="24"/>
          <w:szCs w:val="24"/>
          <w:lang w:val="uk-UA"/>
        </w:rPr>
        <w:t xml:space="preserve">Основи </w:t>
      </w:r>
      <w:proofErr w:type="spellStart"/>
      <w:r>
        <w:rPr>
          <w:sz w:val="24"/>
          <w:szCs w:val="24"/>
          <w:lang w:val="uk-UA"/>
        </w:rPr>
        <w:t>туризмознавства</w:t>
      </w:r>
      <w:proofErr w:type="spellEnd"/>
      <w:r w:rsidRPr="00512CB5">
        <w:rPr>
          <w:sz w:val="24"/>
          <w:szCs w:val="24"/>
          <w:lang w:val="uk-UA"/>
        </w:rPr>
        <w:t>»</w:t>
      </w:r>
      <w:r w:rsidRPr="004F489E">
        <w:rPr>
          <w:sz w:val="24"/>
          <w:szCs w:val="24"/>
          <w:lang w:val="uk-UA"/>
        </w:rPr>
        <w:t>.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D043F" w:rsidRPr="00491DB7" w:rsidRDefault="00ED043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="00C82253">
        <w:rPr>
          <w:sz w:val="24"/>
          <w:szCs w:val="24"/>
          <w:lang w:val="uk-UA"/>
        </w:rPr>
        <w:t>Управління виробничими групами в сучасних ринкових умовах: міжнародний досвід</w:t>
      </w:r>
      <w:r>
        <w:rPr>
          <w:sz w:val="24"/>
          <w:szCs w:val="24"/>
          <w:lang w:val="uk-UA"/>
        </w:rPr>
        <w:t xml:space="preserve">» </w:t>
      </w:r>
    </w:p>
    <w:p w:rsidR="00C82253" w:rsidRPr="00491DB7" w:rsidRDefault="00ED043F" w:rsidP="00C822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="00C82253">
        <w:rPr>
          <w:sz w:val="24"/>
          <w:szCs w:val="24"/>
          <w:lang w:val="uk-UA"/>
        </w:rPr>
        <w:t xml:space="preserve">одуль 2 </w:t>
      </w:r>
      <w:r w:rsidR="00C82253" w:rsidRPr="00491DB7">
        <w:rPr>
          <w:sz w:val="24"/>
          <w:szCs w:val="24"/>
          <w:lang w:val="uk-UA"/>
        </w:rPr>
        <w:t>«</w:t>
      </w:r>
      <w:r w:rsidR="00C82253">
        <w:rPr>
          <w:sz w:val="24"/>
          <w:szCs w:val="24"/>
          <w:lang w:val="uk-UA"/>
        </w:rPr>
        <w:t xml:space="preserve">Управління виробничими групами в сучасних ринкових умовах: український досвід» </w:t>
      </w:r>
    </w:p>
    <w:p w:rsidR="00ED043F" w:rsidRDefault="00ED043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1F6007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1F6007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схвалення стратегії розвитку туризму та курортів на період до 2026 року: Розпорядження КМУ від 16.03. 2017 № 168-р. База даних «Урядовий портал». КМ </w:t>
      </w:r>
      <w:r w:rsidRPr="00E51200">
        <w:rPr>
          <w:rFonts w:ascii="Times New Roman" w:hAnsi="Times New Roman"/>
          <w:sz w:val="24"/>
          <w:szCs w:val="24"/>
          <w:lang w:val="uk-UA"/>
        </w:rPr>
        <w:lastRenderedPageBreak/>
        <w:t>України. URL: https://www.kmu.gov.ua/ua/npas/249826501(дата звернення: 28.01.2019).</w:t>
      </w:r>
    </w:p>
    <w:p w:rsidR="00ED043F" w:rsidRPr="00E51200" w:rsidRDefault="001F6007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222-VIII</w:t>
      </w:r>
    </w:p>
    <w:p w:rsidR="00ED043F" w:rsidRPr="00E51200" w:rsidRDefault="001F6007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1F6007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1F6007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1F6007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1F6007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1F6007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1F6007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1F6007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1F6007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  <w:r w:rsidRPr="00F74A0F">
        <w:rPr>
          <w:rFonts w:ascii="Times New Roman" w:hAnsi="Times New Roman"/>
          <w:bCs/>
          <w:i/>
          <w:color w:val="000000"/>
          <w:spacing w:val="-6"/>
          <w:sz w:val="20"/>
          <w:szCs w:val="20"/>
        </w:rPr>
        <w:t>«</w:t>
      </w:r>
      <w:r w:rsidR="006E49EA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Управління виробничими групами</w:t>
      </w:r>
      <w:r w:rsidRPr="00F74A0F">
        <w:rPr>
          <w:rFonts w:ascii="Times New Roman" w:hAnsi="Times New Roman"/>
          <w:bCs/>
          <w:i/>
          <w:color w:val="000000"/>
          <w:spacing w:val="-1"/>
          <w:sz w:val="20"/>
          <w:szCs w:val="20"/>
        </w:rPr>
        <w:t>»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C822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C822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10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53" w:rsidRPr="00491DB7" w:rsidRDefault="00C82253" w:rsidP="00C82253">
            <w:pPr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491DB7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Управління виробничими групами в сучасних ринкових умовах: міжнародний досвід» </w:t>
            </w:r>
          </w:p>
          <w:p w:rsidR="00ED043F" w:rsidRPr="00F07825" w:rsidRDefault="00ED043F" w:rsidP="00F078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2253" w:rsidRPr="00491DB7" w:rsidRDefault="00C82253" w:rsidP="00C82253">
            <w:pPr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91DB7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Управління виробничими групами в сучасних ринкових умовах: український досвід» </w:t>
            </w:r>
          </w:p>
          <w:p w:rsidR="00ED043F" w:rsidRPr="00F07825" w:rsidRDefault="00ED043F" w:rsidP="00D14F4B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C8225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Міжнародні акти </w:t>
            </w:r>
            <w:r w:rsidR="00C82253">
              <w:rPr>
                <w:sz w:val="18"/>
                <w:szCs w:val="18"/>
                <w:lang w:val="uk-UA"/>
              </w:rPr>
              <w:t>ВТО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C82253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Законодавча база ЄС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  <w:r w:rsidR="00C82253">
              <w:rPr>
                <w:sz w:val="18"/>
                <w:szCs w:val="18"/>
                <w:lang w:val="uk-UA"/>
              </w:rPr>
              <w:t xml:space="preserve"> країн Європи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C82253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Конституція України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C82253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  <w:r w:rsidR="00C82253">
              <w:rPr>
                <w:sz w:val="18"/>
                <w:szCs w:val="18"/>
                <w:lang w:val="uk-UA"/>
              </w:rPr>
              <w:t xml:space="preserve"> в Україні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транспортного забезпечення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82253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53" w:rsidRPr="00415253" w:rsidRDefault="00C82253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C82253" w:rsidRPr="00415253" w:rsidRDefault="00C82253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C82253" w:rsidRPr="00415253" w:rsidRDefault="00C82253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BC74B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ВТО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BC74B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Законодавча база ЄС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BC74B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 країн Європи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53" w:rsidRPr="001369E8" w:rsidRDefault="00C82253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 в Україні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82253" w:rsidRPr="001369E8" w:rsidRDefault="00C82253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253" w:rsidRPr="001369E8" w:rsidRDefault="00C82253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4A" w:rsidRDefault="0088034A">
      <w:r>
        <w:separator/>
      </w:r>
    </w:p>
  </w:endnote>
  <w:endnote w:type="continuationSeparator" w:id="1">
    <w:p w:rsidR="0088034A" w:rsidRDefault="0088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4A" w:rsidRDefault="0088034A">
      <w:r>
        <w:separator/>
      </w:r>
    </w:p>
  </w:footnote>
  <w:footnote w:type="continuationSeparator" w:id="1">
    <w:p w:rsidR="0088034A" w:rsidRDefault="0088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1F6007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1F6007">
    <w:pPr>
      <w:pStyle w:val="a6"/>
      <w:jc w:val="right"/>
    </w:pPr>
    <w:fldSimple w:instr="PAGE   \* MERGEFORMAT">
      <w:r w:rsidR="00C82253">
        <w:rPr>
          <w:noProof/>
        </w:rPr>
        <w:t>5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6007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33D5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3FD5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3615F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9EA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0D00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7F355F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34A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57DA0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12A7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719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2253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29ED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A0F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uiPriority w:val="99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1525</Words>
  <Characters>12084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66</cp:revision>
  <cp:lastPrinted>2020-02-07T11:17:00Z</cp:lastPrinted>
  <dcterms:created xsi:type="dcterms:W3CDTF">2020-01-30T07:45:00Z</dcterms:created>
  <dcterms:modified xsi:type="dcterms:W3CDTF">2021-10-29T10:30:00Z</dcterms:modified>
</cp:coreProperties>
</file>