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045BC2">
      <w:pPr>
        <w:pBdr>
          <w:top w:val="none" w:color="auto" w:sz="0" w:space="0"/>
          <w:left w:val="none" w:color="auto" w:sz="0" w:space="0"/>
          <w:bottom w:val="none" w:color="auto" w:sz="0" w:space="0"/>
          <w:right w:val="none" w:color="auto" w:sz="0" w:space="0"/>
          <w:between w:val="none" w:color="auto" w:sz="0" w:space="0"/>
        </w:pBdr>
        <w:spacing w:line="240" w:lineRule="auto"/>
        <w:ind w:left="1" w:right="-244" w:hanging="3"/>
        <w:jc w:val="center"/>
        <w:rPr>
          <w:color w:val="000000"/>
        </w:rPr>
      </w:pPr>
      <w:r>
        <w:rPr>
          <w:b/>
          <w:bCs/>
          <w:color w:val="000000"/>
          <w:sz w:val="28"/>
          <w:szCs w:val="28"/>
        </w:rPr>
        <w:t>ПрАТ  «ВНЗ «МІЖРЕГІОНАЛЬНА АКАДЕМІЯ УПРАВЛІННЯ ПЕРСОНАЛОМ»</w:t>
      </w:r>
    </w:p>
    <w:p w14:paraId="14169106">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p w14:paraId="15C9EAC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color w:val="000000"/>
        </w:rPr>
      </w:pPr>
      <w:r>
        <w:rPr>
          <w:color w:val="000000"/>
          <w:lang w:val="uk-UA" w:eastAsia="uk-UA"/>
        </w:rPr>
        <w:drawing>
          <wp:inline distT="0" distB="0" distL="114300" distR="114300">
            <wp:extent cx="690880" cy="817245"/>
            <wp:effectExtent l="0" t="0" r="0" b="0"/>
            <wp:docPr id="1026" name="image1.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26" name="image1.png" descr="A black and white logo&#10;&#10;AI-generated content may be incorrect."/>
                    <pic:cNvPicPr preferRelativeResize="0"/>
                  </pic:nvPicPr>
                  <pic:blipFill>
                    <a:blip r:embed="rId8"/>
                    <a:srcRect/>
                    <a:stretch>
                      <a:fillRect/>
                    </a:stretch>
                  </pic:blipFill>
                  <pic:spPr>
                    <a:xfrm>
                      <a:off x="0" y="0"/>
                      <a:ext cx="690880" cy="817245"/>
                    </a:xfrm>
                    <a:prstGeom prst="rect">
                      <a:avLst/>
                    </a:prstGeom>
                  </pic:spPr>
                </pic:pic>
              </a:graphicData>
            </a:graphic>
          </wp:inline>
        </w:drawing>
      </w:r>
    </w:p>
    <w:p w14:paraId="19A49BE3">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p w14:paraId="3AF5EFEB">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p w14:paraId="413BC772">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p w14:paraId="53A98D6F">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p w14:paraId="510B1446">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r>
        <w:rPr>
          <w:color w:val="000000"/>
        </w:rPr>
        <w:br w:type="textWrapping"/>
      </w:r>
      <w:r>
        <w:rPr>
          <w:color w:val="000000"/>
        </w:rPr>
        <w:br w:type="textWrapping"/>
      </w:r>
    </w:p>
    <w:p w14:paraId="1C2F2A5A">
      <w:pPr>
        <w:pBdr>
          <w:top w:val="none" w:color="auto" w:sz="0" w:space="0"/>
          <w:left w:val="none" w:color="auto" w:sz="0" w:space="0"/>
          <w:bottom w:val="none" w:color="auto" w:sz="0" w:space="0"/>
          <w:right w:val="none" w:color="auto" w:sz="0" w:space="0"/>
          <w:between w:val="none" w:color="auto" w:sz="0" w:space="0"/>
        </w:pBdr>
        <w:spacing w:before="240" w:after="60" w:line="240" w:lineRule="auto"/>
        <w:ind w:left="1" w:right="-5" w:hanging="3"/>
        <w:jc w:val="center"/>
        <w:rPr>
          <w:rFonts w:ascii="Calibri" w:hAnsi="Calibri" w:eastAsia="Calibri" w:cs="Calibri"/>
          <w:color w:val="000000"/>
          <w:sz w:val="32"/>
          <w:szCs w:val="32"/>
        </w:rPr>
      </w:pPr>
      <w:r>
        <w:rPr>
          <w:b/>
          <w:bCs/>
          <w:i/>
          <w:iCs/>
          <w:color w:val="000000"/>
          <w:sz w:val="32"/>
          <w:szCs w:val="32"/>
        </w:rPr>
        <w:t>СИЛАБУС НАВЧАЛЬНОЇ ДИСЦИПЛІНИ</w:t>
      </w:r>
    </w:p>
    <w:p w14:paraId="4C8EB2EB">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center"/>
        <w:rPr>
          <w:color w:val="000000"/>
        </w:rPr>
      </w:pPr>
      <w:r>
        <w:rPr>
          <w:b/>
          <w:bCs/>
          <w:color w:val="000000"/>
          <w:sz w:val="32"/>
          <w:szCs w:val="32"/>
        </w:rPr>
        <w:t>«</w:t>
      </w:r>
      <w:r>
        <w:rPr>
          <w:b/>
          <w:bCs/>
          <w:i/>
          <w:iCs/>
          <w:sz w:val="32"/>
          <w:szCs w:val="32"/>
        </w:rPr>
        <w:t>Ціноутворення</w:t>
      </w:r>
      <w:r>
        <w:rPr>
          <w:b/>
          <w:bCs/>
          <w:color w:val="000000"/>
          <w:sz w:val="32"/>
          <w:szCs w:val="32"/>
        </w:rPr>
        <w:t>»</w:t>
      </w:r>
    </w:p>
    <w:p w14:paraId="21801E0C">
      <w:pPr>
        <w:pBdr>
          <w:top w:val="none" w:color="auto" w:sz="0" w:space="0"/>
          <w:left w:val="none" w:color="auto" w:sz="0" w:space="0"/>
          <w:bottom w:val="none" w:color="auto" w:sz="0" w:space="0"/>
          <w:right w:val="none" w:color="auto" w:sz="0" w:space="0"/>
          <w:between w:val="none" w:color="auto" w:sz="0" w:space="0"/>
        </w:pBdr>
        <w:spacing w:after="240" w:line="240" w:lineRule="auto"/>
        <w:ind w:left="0" w:hanging="2"/>
        <w:rPr>
          <w:color w:val="000000"/>
        </w:rPr>
      </w:pPr>
    </w:p>
    <w:tbl>
      <w:tblPr>
        <w:tblStyle w:val="60"/>
        <w:tblW w:w="9350" w:type="dxa"/>
        <w:tblInd w:w="-108" w:type="dxa"/>
        <w:tblLayout w:type="fixed"/>
        <w:tblCellMar>
          <w:top w:w="0" w:type="dxa"/>
          <w:left w:w="108" w:type="dxa"/>
          <w:bottom w:w="0" w:type="dxa"/>
          <w:right w:w="108" w:type="dxa"/>
        </w:tblCellMar>
      </w:tblPr>
      <w:tblGrid>
        <w:gridCol w:w="3235"/>
        <w:gridCol w:w="6115"/>
      </w:tblGrid>
      <w:tr w14:paraId="6D5392E5">
        <w:tc>
          <w:tcPr>
            <w:tcW w:w="3235" w:type="dxa"/>
          </w:tcPr>
          <w:p w14:paraId="4E9233C1">
            <w:pPr>
              <w:suppressAutoHyphens/>
              <w:spacing w:after="240"/>
              <w:ind w:left="1" w:hanging="3"/>
              <w:rPr>
                <w:color w:val="000000"/>
                <w:sz w:val="24"/>
                <w:szCs w:val="24"/>
                <w:lang w:val="uk-UA"/>
              </w:rPr>
            </w:pPr>
            <w:r>
              <w:rPr>
                <w:color w:val="000000"/>
                <w:sz w:val="28"/>
                <w:szCs w:val="28"/>
                <w:lang w:val="uk-UA"/>
              </w:rPr>
              <w:t>Спеціальність:</w:t>
            </w:r>
          </w:p>
        </w:tc>
        <w:tc>
          <w:tcPr>
            <w:tcW w:w="6115" w:type="dxa"/>
          </w:tcPr>
          <w:p w14:paraId="54046809">
            <w:pPr>
              <w:suppressAutoHyphens/>
              <w:spacing w:after="240"/>
              <w:ind w:left="1" w:hanging="3"/>
              <w:rPr>
                <w:color w:val="000000"/>
                <w:sz w:val="24"/>
                <w:szCs w:val="24"/>
                <w:lang w:val="uk-UA"/>
              </w:rPr>
            </w:pPr>
            <w:r>
              <w:rPr>
                <w:b/>
                <w:bCs/>
                <w:color w:val="000000"/>
                <w:sz w:val="28"/>
                <w:szCs w:val="28"/>
                <w:lang w:val="uk-UA"/>
              </w:rPr>
              <w:t>D3 Менеджмент </w:t>
            </w:r>
          </w:p>
        </w:tc>
      </w:tr>
      <w:tr w14:paraId="3CFF37CE">
        <w:tblPrEx>
          <w:tblCellMar>
            <w:top w:w="0" w:type="dxa"/>
            <w:left w:w="108" w:type="dxa"/>
            <w:bottom w:w="0" w:type="dxa"/>
            <w:right w:w="108" w:type="dxa"/>
          </w:tblCellMar>
        </w:tblPrEx>
        <w:tc>
          <w:tcPr>
            <w:tcW w:w="3235" w:type="dxa"/>
          </w:tcPr>
          <w:p w14:paraId="6032BDE7">
            <w:pPr>
              <w:suppressAutoHyphens/>
              <w:spacing w:after="240"/>
              <w:ind w:left="1" w:hanging="3"/>
              <w:rPr>
                <w:color w:val="000000"/>
                <w:sz w:val="24"/>
                <w:szCs w:val="24"/>
                <w:lang w:val="uk-UA"/>
              </w:rPr>
            </w:pPr>
            <w:r>
              <w:rPr>
                <w:color w:val="000000"/>
                <w:sz w:val="28"/>
                <w:szCs w:val="28"/>
                <w:lang w:val="uk-UA"/>
              </w:rPr>
              <w:t>Освітній рівень:</w:t>
            </w:r>
          </w:p>
        </w:tc>
        <w:tc>
          <w:tcPr>
            <w:tcW w:w="6115" w:type="dxa"/>
          </w:tcPr>
          <w:p w14:paraId="728B7061">
            <w:pPr>
              <w:suppressAutoHyphens/>
              <w:spacing w:after="240"/>
              <w:ind w:left="1" w:hanging="3"/>
              <w:rPr>
                <w:color w:val="000000"/>
                <w:sz w:val="24"/>
                <w:szCs w:val="24"/>
                <w:lang w:val="uk-UA"/>
              </w:rPr>
            </w:pPr>
            <w:r>
              <w:rPr>
                <w:b/>
                <w:bCs/>
                <w:color w:val="000000"/>
                <w:sz w:val="28"/>
                <w:szCs w:val="28"/>
                <w:lang w:val="uk-UA"/>
              </w:rPr>
              <w:t>перший (бакалаврський) рівень</w:t>
            </w:r>
          </w:p>
        </w:tc>
      </w:tr>
      <w:tr w14:paraId="636C1270">
        <w:tblPrEx>
          <w:tblCellMar>
            <w:top w:w="0" w:type="dxa"/>
            <w:left w:w="108" w:type="dxa"/>
            <w:bottom w:w="0" w:type="dxa"/>
            <w:right w:w="108" w:type="dxa"/>
          </w:tblCellMar>
        </w:tblPrEx>
        <w:tc>
          <w:tcPr>
            <w:tcW w:w="3235" w:type="dxa"/>
          </w:tcPr>
          <w:p w14:paraId="4E978836">
            <w:pPr>
              <w:suppressAutoHyphens/>
              <w:spacing w:after="240"/>
              <w:ind w:left="1" w:hanging="3"/>
              <w:rPr>
                <w:color w:val="000000"/>
                <w:sz w:val="24"/>
                <w:szCs w:val="24"/>
                <w:lang w:val="uk-UA"/>
              </w:rPr>
            </w:pPr>
            <w:r>
              <w:rPr>
                <w:color w:val="000000"/>
                <w:sz w:val="28"/>
                <w:szCs w:val="28"/>
                <w:lang w:val="uk-UA"/>
              </w:rPr>
              <w:t>Освітня програма:     </w:t>
            </w:r>
          </w:p>
        </w:tc>
        <w:tc>
          <w:tcPr>
            <w:tcW w:w="6115" w:type="dxa"/>
          </w:tcPr>
          <w:p w14:paraId="73DE5033">
            <w:pPr>
              <w:suppressAutoHyphens/>
              <w:ind w:left="1" w:right="-5" w:hanging="3"/>
              <w:jc w:val="both"/>
              <w:rPr>
                <w:color w:val="000000"/>
                <w:sz w:val="24"/>
                <w:szCs w:val="24"/>
                <w:lang w:val="uk-UA"/>
              </w:rPr>
            </w:pPr>
            <w:r>
              <w:rPr>
                <w:b/>
                <w:bCs/>
                <w:color w:val="000000"/>
                <w:sz w:val="28"/>
                <w:szCs w:val="28"/>
                <w:lang w:val="uk-UA"/>
              </w:rPr>
              <w:t>Менеджмент</w:t>
            </w:r>
          </w:p>
        </w:tc>
      </w:tr>
    </w:tbl>
    <w:p w14:paraId="57350BEE">
      <w:pPr>
        <w:pBdr>
          <w:top w:val="none" w:color="auto" w:sz="0" w:space="0"/>
          <w:left w:val="none" w:color="auto" w:sz="0" w:space="0"/>
          <w:bottom w:val="none" w:color="auto" w:sz="0" w:space="0"/>
          <w:right w:val="none" w:color="auto" w:sz="0" w:space="0"/>
          <w:between w:val="none" w:color="auto" w:sz="0" w:space="0"/>
        </w:pBdr>
        <w:spacing w:after="240" w:line="240" w:lineRule="auto"/>
        <w:ind w:left="0" w:hanging="2"/>
        <w:rPr>
          <w:color w:val="000000"/>
        </w:rPr>
      </w:pPr>
    </w:p>
    <w:p w14:paraId="30A5B65D">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both"/>
        <w:rPr>
          <w:color w:val="000000"/>
        </w:rPr>
      </w:pPr>
      <w:r>
        <w:rPr>
          <w:color w:val="000000"/>
          <w:sz w:val="28"/>
          <w:szCs w:val="28"/>
        </w:rPr>
        <w:tab/>
      </w:r>
      <w:r>
        <w:rPr>
          <w:color w:val="000000"/>
          <w:sz w:val="28"/>
          <w:szCs w:val="28"/>
        </w:rPr>
        <w:tab/>
      </w:r>
    </w:p>
    <w:p w14:paraId="0544CE55">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p w14:paraId="0BCB2BA4">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both"/>
        <w:rPr>
          <w:color w:val="000000"/>
        </w:rPr>
      </w:pPr>
      <w:r>
        <w:rPr>
          <w:color w:val="000000"/>
          <w:sz w:val="28"/>
          <w:szCs w:val="28"/>
        </w:rPr>
        <w:tab/>
      </w:r>
    </w:p>
    <w:p w14:paraId="250E0952">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p w14:paraId="6B6711A6">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p w14:paraId="3A9A65C5">
      <w:pPr>
        <w:pBdr>
          <w:top w:val="none" w:color="auto" w:sz="0" w:space="0"/>
          <w:left w:val="none" w:color="auto" w:sz="0" w:space="0"/>
          <w:bottom w:val="none" w:color="auto" w:sz="0" w:space="0"/>
          <w:right w:val="none" w:color="auto" w:sz="0" w:space="0"/>
          <w:between w:val="none" w:color="auto" w:sz="0" w:space="0"/>
        </w:pBdr>
        <w:spacing w:after="240" w:line="240" w:lineRule="auto"/>
        <w:ind w:left="0" w:hanging="2"/>
        <w:rPr>
          <w:color w:val="000000"/>
        </w:rPr>
      </w:pPr>
      <w:r>
        <w:rPr>
          <w:color w:val="000000"/>
        </w:rPr>
        <w:br w:type="textWrapping"/>
      </w:r>
      <w:r>
        <w:rPr>
          <w:color w:val="000000"/>
        </w:rPr>
        <w:br w:type="textWrapping"/>
      </w:r>
      <w:r>
        <w:rPr>
          <w:color w:val="000000"/>
        </w:rPr>
        <w:br w:type="textWrapping"/>
      </w:r>
      <w:r>
        <w:rPr>
          <w:color w:val="000000"/>
        </w:rPr>
        <w:br w:type="textWrapping"/>
      </w:r>
      <w:r>
        <w:rPr>
          <w:color w:val="000000"/>
        </w:rPr>
        <w:br w:type="textWrapping"/>
      </w:r>
      <w:r>
        <w:rPr>
          <w:color w:val="000000"/>
        </w:rPr>
        <w:br w:type="textWrapping"/>
      </w:r>
      <w:r>
        <w:rPr>
          <w:color w:val="000000"/>
        </w:rPr>
        <w:br w:type="textWrapping"/>
      </w:r>
      <w:r>
        <w:rPr>
          <w:color w:val="000000"/>
        </w:rPr>
        <w:br w:type="textWrapping"/>
      </w:r>
    </w:p>
    <w:p w14:paraId="6C570340">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center"/>
        <w:rPr>
          <w:color w:val="000000"/>
        </w:rPr>
      </w:pPr>
      <w:r>
        <w:rPr>
          <w:color w:val="000000"/>
          <w:sz w:val="28"/>
          <w:szCs w:val="28"/>
        </w:rPr>
        <w:t>МАУП 2025</w:t>
      </w:r>
    </w:p>
    <w:p w14:paraId="003A1C64">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p w14:paraId="22E58745">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both"/>
        <w:rPr>
          <w:color w:val="000000"/>
          <w:sz w:val="28"/>
          <w:szCs w:val="28"/>
        </w:rPr>
      </w:pPr>
    </w:p>
    <w:p w14:paraId="7AD65BA1">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both"/>
        <w:rPr>
          <w:color w:val="000000"/>
          <w:sz w:val="28"/>
          <w:szCs w:val="28"/>
        </w:rPr>
      </w:pPr>
    </w:p>
    <w:p w14:paraId="1CDCB7FE">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both"/>
        <w:rPr>
          <w:color w:val="000000"/>
          <w:sz w:val="28"/>
          <w:szCs w:val="28"/>
        </w:rPr>
      </w:pPr>
    </w:p>
    <w:p w14:paraId="1D877511">
      <w:pPr>
        <w:pageBreakBefore/>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color w:val="000000"/>
          <w:sz w:val="24"/>
          <w:szCs w:val="24"/>
        </w:rPr>
      </w:pPr>
      <w:r>
        <w:rPr>
          <w:b/>
          <w:bCs/>
          <w:color w:val="000000"/>
          <w:sz w:val="24"/>
          <w:szCs w:val="24"/>
        </w:rPr>
        <w:t>Загальна інформація про навчальну дисципліну</w:t>
      </w:r>
    </w:p>
    <w:tbl>
      <w:tblPr>
        <w:tblStyle w:val="61"/>
        <w:tblpPr w:leftFromText="180" w:rightFromText="180" w:vertAnchor="text" w:tblpX="91" w:tblpY="293"/>
        <w:tblW w:w="10416" w:type="dxa"/>
        <w:tblInd w:w="0" w:type="dxa"/>
        <w:tblLayout w:type="fixed"/>
        <w:tblCellMar>
          <w:top w:w="0" w:type="dxa"/>
          <w:left w:w="108" w:type="dxa"/>
          <w:bottom w:w="0" w:type="dxa"/>
          <w:right w:w="108" w:type="dxa"/>
        </w:tblCellMar>
      </w:tblPr>
      <w:tblGrid>
        <w:gridCol w:w="3743"/>
        <w:gridCol w:w="6673"/>
      </w:tblGrid>
      <w:tr w14:paraId="7BEAF7E6">
        <w:tblPrEx>
          <w:tblCellMar>
            <w:top w:w="0" w:type="dxa"/>
            <w:left w:w="108" w:type="dxa"/>
            <w:bottom w:w="0" w:type="dxa"/>
            <w:right w:w="108" w:type="dxa"/>
          </w:tblCellMar>
        </w:tblPrEx>
        <w:trPr>
          <w:trHeight w:val="290" w:hRule="atLeast"/>
        </w:trPr>
        <w:tc>
          <w:tcPr>
            <w:tcW w:w="3743" w:type="dxa"/>
            <w:tcBorders>
              <w:top w:val="single" w:color="000000" w:sz="4" w:space="0"/>
              <w:left w:val="single" w:color="000000" w:sz="4" w:space="0"/>
              <w:bottom w:val="single" w:color="000000" w:sz="4" w:space="0"/>
              <w:right w:val="single" w:color="000000" w:sz="4" w:space="0"/>
            </w:tcBorders>
          </w:tcPr>
          <w:p w14:paraId="3E17C5F7">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rPr>
            </w:pPr>
            <w:r>
              <w:rPr>
                <w:color w:val="000000"/>
                <w:sz w:val="24"/>
                <w:szCs w:val="24"/>
              </w:rPr>
              <w:t>Назва навчальної дисципліни</w:t>
            </w:r>
          </w:p>
        </w:tc>
        <w:tc>
          <w:tcPr>
            <w:tcW w:w="6673" w:type="dxa"/>
            <w:tcBorders>
              <w:top w:val="single" w:color="000000" w:sz="4" w:space="0"/>
              <w:left w:val="single" w:color="000000" w:sz="4" w:space="0"/>
              <w:bottom w:val="single" w:color="000000" w:sz="4" w:space="0"/>
              <w:right w:val="single" w:color="000000" w:sz="4" w:space="0"/>
            </w:tcBorders>
          </w:tcPr>
          <w:p w14:paraId="5419098E">
            <w:pPr>
              <w:suppressAutoHyphens/>
              <w:ind w:left="0" w:hanging="2"/>
              <w:jc w:val="center"/>
              <w:rPr>
                <w:color w:val="000000"/>
              </w:rPr>
            </w:pPr>
            <w:r>
              <w:rPr>
                <w:sz w:val="24"/>
                <w:szCs w:val="24"/>
              </w:rPr>
              <w:t>Ціноутворення</w:t>
            </w:r>
          </w:p>
        </w:tc>
      </w:tr>
      <w:tr w14:paraId="49BD4743">
        <w:tblPrEx>
          <w:tblCellMar>
            <w:top w:w="0" w:type="dxa"/>
            <w:left w:w="108" w:type="dxa"/>
            <w:bottom w:w="0" w:type="dxa"/>
            <w:right w:w="108" w:type="dxa"/>
          </w:tblCellMar>
        </w:tblPrEx>
        <w:trPr>
          <w:trHeight w:val="289" w:hRule="atLeast"/>
        </w:trPr>
        <w:tc>
          <w:tcPr>
            <w:tcW w:w="3743" w:type="dxa"/>
            <w:tcBorders>
              <w:top w:val="single" w:color="000000" w:sz="4" w:space="0"/>
              <w:left w:val="single" w:color="000000" w:sz="4" w:space="0"/>
              <w:bottom w:val="single" w:color="000000" w:sz="4" w:space="0"/>
              <w:right w:val="single" w:color="000000" w:sz="4" w:space="0"/>
            </w:tcBorders>
          </w:tcPr>
          <w:p w14:paraId="4517A0A5">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rPr>
            </w:pPr>
            <w:r>
              <w:rPr>
                <w:color w:val="000000"/>
                <w:sz w:val="24"/>
                <w:szCs w:val="24"/>
              </w:rPr>
              <w:t>Шифр та назва спеціальності</w:t>
            </w:r>
          </w:p>
        </w:tc>
        <w:tc>
          <w:tcPr>
            <w:tcW w:w="6673" w:type="dxa"/>
            <w:tcBorders>
              <w:top w:val="single" w:color="000000" w:sz="4" w:space="0"/>
              <w:left w:val="single" w:color="000000" w:sz="4" w:space="0"/>
              <w:bottom w:val="single" w:color="000000" w:sz="4" w:space="0"/>
              <w:right w:val="single" w:color="000000" w:sz="4" w:space="0"/>
            </w:tcBorders>
          </w:tcPr>
          <w:p w14:paraId="6E64EDE0">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jc w:val="center"/>
              <w:rPr>
                <w:b/>
                <w:bCs/>
                <w:color w:val="000000"/>
              </w:rPr>
            </w:pPr>
            <w:r>
              <w:rPr>
                <w:b/>
                <w:bCs/>
                <w:sz w:val="24"/>
                <w:szCs w:val="24"/>
                <w:lang w:val="uk-UA"/>
              </w:rPr>
              <w:t>D3 «Менеджмент»</w:t>
            </w:r>
          </w:p>
        </w:tc>
      </w:tr>
      <w:tr w14:paraId="16A2FE28">
        <w:tblPrEx>
          <w:tblCellMar>
            <w:top w:w="0" w:type="dxa"/>
            <w:left w:w="108" w:type="dxa"/>
            <w:bottom w:w="0" w:type="dxa"/>
            <w:right w:w="108" w:type="dxa"/>
          </w:tblCellMar>
        </w:tblPrEx>
        <w:trPr>
          <w:trHeight w:val="372" w:hRule="atLeast"/>
        </w:trPr>
        <w:tc>
          <w:tcPr>
            <w:tcW w:w="3743" w:type="dxa"/>
            <w:tcBorders>
              <w:top w:val="single" w:color="000000" w:sz="4" w:space="0"/>
              <w:left w:val="single" w:color="000000" w:sz="4" w:space="0"/>
              <w:bottom w:val="single" w:color="000000" w:sz="4" w:space="0"/>
              <w:right w:val="single" w:color="000000" w:sz="4" w:space="0"/>
            </w:tcBorders>
          </w:tcPr>
          <w:p w14:paraId="2D1C96D3">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rPr>
            </w:pPr>
            <w:r>
              <w:rPr>
                <w:color w:val="000000"/>
                <w:sz w:val="24"/>
                <w:szCs w:val="24"/>
              </w:rPr>
              <w:t>Рівень вищої освіти</w:t>
            </w:r>
          </w:p>
        </w:tc>
        <w:tc>
          <w:tcPr>
            <w:tcW w:w="6673" w:type="dxa"/>
            <w:tcBorders>
              <w:top w:val="single" w:color="000000" w:sz="4" w:space="0"/>
              <w:left w:val="single" w:color="000000" w:sz="4" w:space="0"/>
              <w:bottom w:val="single" w:color="000000" w:sz="4" w:space="0"/>
              <w:right w:val="single" w:color="000000" w:sz="4" w:space="0"/>
            </w:tcBorders>
          </w:tcPr>
          <w:p w14:paraId="216FEA74">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jc w:val="center"/>
              <w:rPr>
                <w:color w:val="000000"/>
              </w:rPr>
            </w:pPr>
            <w:r>
              <w:rPr>
                <w:sz w:val="24"/>
                <w:szCs w:val="24"/>
              </w:rPr>
              <w:t>перший</w:t>
            </w:r>
            <w:r>
              <w:rPr>
                <w:color w:val="000000"/>
                <w:sz w:val="24"/>
                <w:szCs w:val="24"/>
              </w:rPr>
              <w:t xml:space="preserve"> (</w:t>
            </w:r>
            <w:r>
              <w:rPr>
                <w:sz w:val="24"/>
                <w:szCs w:val="24"/>
              </w:rPr>
              <w:t>бакалаврський</w:t>
            </w:r>
            <w:r>
              <w:rPr>
                <w:color w:val="000000"/>
                <w:sz w:val="24"/>
                <w:szCs w:val="24"/>
              </w:rPr>
              <w:t>) рівень вищої освіти</w:t>
            </w:r>
          </w:p>
        </w:tc>
      </w:tr>
      <w:tr w14:paraId="234418F4">
        <w:tblPrEx>
          <w:tblCellMar>
            <w:top w:w="0" w:type="dxa"/>
            <w:left w:w="108" w:type="dxa"/>
            <w:bottom w:w="0" w:type="dxa"/>
            <w:right w:w="108" w:type="dxa"/>
          </w:tblCellMar>
        </w:tblPrEx>
        <w:trPr>
          <w:trHeight w:val="386" w:hRule="atLeast"/>
        </w:trPr>
        <w:tc>
          <w:tcPr>
            <w:tcW w:w="3743" w:type="dxa"/>
            <w:tcBorders>
              <w:top w:val="single" w:color="000000" w:sz="4" w:space="0"/>
              <w:left w:val="single" w:color="000000" w:sz="4" w:space="0"/>
              <w:bottom w:val="single" w:color="000000" w:sz="4" w:space="0"/>
              <w:right w:val="single" w:color="000000" w:sz="4" w:space="0"/>
            </w:tcBorders>
          </w:tcPr>
          <w:p w14:paraId="4DD7DFFB">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rPr>
            </w:pPr>
            <w:r>
              <w:rPr>
                <w:color w:val="000000"/>
                <w:sz w:val="24"/>
                <w:szCs w:val="24"/>
              </w:rPr>
              <w:t>Статус дисципліни</w:t>
            </w:r>
          </w:p>
        </w:tc>
        <w:tc>
          <w:tcPr>
            <w:tcW w:w="6673" w:type="dxa"/>
            <w:tcBorders>
              <w:top w:val="single" w:color="000000" w:sz="4" w:space="0"/>
              <w:left w:val="single" w:color="000000" w:sz="4" w:space="0"/>
              <w:bottom w:val="single" w:color="000000" w:sz="4" w:space="0"/>
              <w:right w:val="single" w:color="000000" w:sz="4" w:space="0"/>
            </w:tcBorders>
          </w:tcPr>
          <w:p w14:paraId="355555CF">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jc w:val="center"/>
              <w:rPr>
                <w:color w:val="000000"/>
              </w:rPr>
            </w:pPr>
            <w:r>
              <w:rPr>
                <w:sz w:val="24"/>
                <w:szCs w:val="24"/>
              </w:rPr>
              <w:t>обов’язкова професійної підготовки</w:t>
            </w:r>
          </w:p>
        </w:tc>
      </w:tr>
      <w:tr w14:paraId="7C27AB32">
        <w:tblPrEx>
          <w:tblCellMar>
            <w:top w:w="0" w:type="dxa"/>
            <w:left w:w="108" w:type="dxa"/>
            <w:bottom w:w="0" w:type="dxa"/>
            <w:right w:w="108" w:type="dxa"/>
          </w:tblCellMar>
        </w:tblPrEx>
        <w:trPr>
          <w:trHeight w:val="1189" w:hRule="atLeast"/>
        </w:trPr>
        <w:tc>
          <w:tcPr>
            <w:tcW w:w="3743" w:type="dxa"/>
            <w:tcBorders>
              <w:top w:val="single" w:color="000000" w:sz="4" w:space="0"/>
              <w:left w:val="single" w:color="000000" w:sz="4" w:space="0"/>
              <w:bottom w:val="single" w:color="000000" w:sz="4" w:space="0"/>
              <w:right w:val="single" w:color="000000" w:sz="4" w:space="0"/>
            </w:tcBorders>
          </w:tcPr>
          <w:p w14:paraId="1ADCBEA9">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rPr>
            </w:pPr>
            <w:r>
              <w:rPr>
                <w:color w:val="000000"/>
                <w:sz w:val="24"/>
                <w:szCs w:val="24"/>
              </w:rPr>
              <w:t>Кількість кредитів і годин</w:t>
            </w:r>
          </w:p>
        </w:tc>
        <w:tc>
          <w:tcPr>
            <w:tcW w:w="6673" w:type="dxa"/>
            <w:tcBorders>
              <w:top w:val="single" w:color="000000" w:sz="4" w:space="0"/>
              <w:left w:val="single" w:color="000000" w:sz="4" w:space="0"/>
              <w:bottom w:val="single" w:color="000000" w:sz="4" w:space="0"/>
              <w:right w:val="single" w:color="000000" w:sz="4" w:space="0"/>
            </w:tcBorders>
          </w:tcPr>
          <w:p w14:paraId="1FAE78F1">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jc w:val="center"/>
              <w:rPr>
                <w:b/>
                <w:bCs/>
                <w:sz w:val="24"/>
                <w:szCs w:val="24"/>
                <w:lang w:val="uk-UA"/>
              </w:rPr>
            </w:pPr>
            <w:r>
              <w:rPr>
                <w:b/>
                <w:bCs/>
                <w:sz w:val="24"/>
                <w:szCs w:val="24"/>
                <w:lang w:val="uk-UA"/>
              </w:rPr>
              <w:t>3 кредити / 90 год.</w:t>
            </w:r>
          </w:p>
          <w:p w14:paraId="17AE10BE">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bCs/>
                <w:sz w:val="24"/>
                <w:szCs w:val="24"/>
                <w:lang w:val="uk-UA"/>
              </w:rPr>
            </w:pPr>
            <w:r>
              <w:rPr>
                <w:bCs/>
                <w:sz w:val="24"/>
                <w:szCs w:val="24"/>
                <w:lang w:val="uk-UA"/>
              </w:rPr>
              <w:t xml:space="preserve">Лекції: </w:t>
            </w:r>
          </w:p>
          <w:p w14:paraId="75CE32DD">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bCs/>
                <w:sz w:val="24"/>
                <w:szCs w:val="24"/>
                <w:lang w:val="uk-UA"/>
              </w:rPr>
            </w:pPr>
            <w:r>
              <w:rPr>
                <w:bCs/>
                <w:sz w:val="24"/>
                <w:szCs w:val="24"/>
                <w:lang w:val="uk-UA"/>
              </w:rPr>
              <w:t xml:space="preserve">Семінарські заняття: </w:t>
            </w:r>
          </w:p>
          <w:p w14:paraId="54C1A32D">
            <w:pPr>
              <w:pBdr>
                <w:top w:val="none" w:color="auto" w:sz="0" w:space="0"/>
                <w:left w:val="none" w:color="auto" w:sz="0" w:space="0"/>
                <w:bottom w:val="none" w:color="auto" w:sz="0" w:space="0"/>
                <w:right w:val="none" w:color="auto" w:sz="0" w:space="0"/>
                <w:between w:val="none" w:color="auto" w:sz="0" w:space="0"/>
              </w:pBdr>
              <w:tabs>
                <w:tab w:val="left" w:pos="8931"/>
                <w:tab w:val="left" w:pos="9356"/>
              </w:tabs>
              <w:suppressAutoHyphens/>
              <w:spacing w:line="240" w:lineRule="auto"/>
              <w:ind w:left="0" w:right="103" w:hanging="2"/>
              <w:rPr>
                <w:color w:val="000000"/>
              </w:rPr>
            </w:pPr>
            <w:r>
              <w:rPr>
                <w:bCs/>
                <w:sz w:val="24"/>
                <w:szCs w:val="24"/>
                <w:lang w:val="uk-UA"/>
              </w:rPr>
              <w:t xml:space="preserve">Самостійна робота студентів: </w:t>
            </w:r>
            <w:bookmarkStart w:id="0" w:name="_GoBack"/>
            <w:bookmarkEnd w:id="0"/>
          </w:p>
        </w:tc>
      </w:tr>
      <w:tr w14:paraId="6E20AD38">
        <w:tblPrEx>
          <w:tblCellMar>
            <w:top w:w="0" w:type="dxa"/>
            <w:left w:w="108" w:type="dxa"/>
            <w:bottom w:w="0" w:type="dxa"/>
            <w:right w:w="108" w:type="dxa"/>
          </w:tblCellMar>
        </w:tblPrEx>
        <w:trPr>
          <w:trHeight w:val="393" w:hRule="atLeast"/>
        </w:trPr>
        <w:tc>
          <w:tcPr>
            <w:tcW w:w="3743" w:type="dxa"/>
            <w:tcBorders>
              <w:top w:val="single" w:color="000000" w:sz="4" w:space="0"/>
              <w:left w:val="single" w:color="000000" w:sz="4" w:space="0"/>
              <w:bottom w:val="single" w:color="000000" w:sz="4" w:space="0"/>
              <w:right w:val="single" w:color="000000" w:sz="4" w:space="0"/>
            </w:tcBorders>
          </w:tcPr>
          <w:p w14:paraId="27F2794B">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rPr>
            </w:pPr>
            <w:r>
              <w:rPr>
                <w:color w:val="000000"/>
                <w:sz w:val="24"/>
                <w:szCs w:val="24"/>
              </w:rPr>
              <w:t>Терміни вивчення дисципліни</w:t>
            </w:r>
          </w:p>
        </w:tc>
        <w:tc>
          <w:tcPr>
            <w:tcW w:w="6673" w:type="dxa"/>
            <w:tcBorders>
              <w:top w:val="single" w:color="000000" w:sz="4" w:space="0"/>
              <w:left w:val="single" w:color="000000" w:sz="4" w:space="0"/>
              <w:bottom w:val="single" w:color="000000" w:sz="4" w:space="0"/>
              <w:right w:val="single" w:color="000000" w:sz="4" w:space="0"/>
            </w:tcBorders>
          </w:tcPr>
          <w:p w14:paraId="1A83B400">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jc w:val="center"/>
              <w:rPr>
                <w:color w:val="000000"/>
              </w:rPr>
            </w:pPr>
          </w:p>
        </w:tc>
      </w:tr>
      <w:tr w14:paraId="39751233">
        <w:tblPrEx>
          <w:tblCellMar>
            <w:top w:w="0" w:type="dxa"/>
            <w:left w:w="108" w:type="dxa"/>
            <w:bottom w:w="0" w:type="dxa"/>
            <w:right w:w="108" w:type="dxa"/>
          </w:tblCellMar>
        </w:tblPrEx>
        <w:trPr>
          <w:trHeight w:val="376" w:hRule="atLeast"/>
        </w:trPr>
        <w:tc>
          <w:tcPr>
            <w:tcW w:w="3743" w:type="dxa"/>
            <w:tcBorders>
              <w:top w:val="single" w:color="000000" w:sz="4" w:space="0"/>
              <w:left w:val="single" w:color="000000" w:sz="4" w:space="0"/>
              <w:bottom w:val="single" w:color="000000" w:sz="4" w:space="0"/>
              <w:right w:val="single" w:color="000000" w:sz="4" w:space="0"/>
            </w:tcBorders>
          </w:tcPr>
          <w:p w14:paraId="3937F33E">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sz w:val="24"/>
                <w:szCs w:val="24"/>
              </w:rPr>
            </w:pPr>
            <w:r>
              <w:rPr>
                <w:color w:val="000000"/>
                <w:sz w:val="24"/>
                <w:szCs w:val="24"/>
              </w:rPr>
              <w:t>Мова викладання</w:t>
            </w:r>
          </w:p>
        </w:tc>
        <w:tc>
          <w:tcPr>
            <w:tcW w:w="6673" w:type="dxa"/>
            <w:tcBorders>
              <w:top w:val="single" w:color="000000" w:sz="4" w:space="0"/>
              <w:left w:val="single" w:color="000000" w:sz="4" w:space="0"/>
              <w:bottom w:val="single" w:color="000000" w:sz="4" w:space="0"/>
              <w:right w:val="single" w:color="000000" w:sz="4" w:space="0"/>
            </w:tcBorders>
          </w:tcPr>
          <w:p w14:paraId="29289E7E">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jc w:val="center"/>
              <w:rPr>
                <w:color w:val="000000"/>
                <w:sz w:val="24"/>
                <w:szCs w:val="24"/>
              </w:rPr>
            </w:pPr>
            <w:r>
              <w:rPr>
                <w:color w:val="000000"/>
                <w:sz w:val="24"/>
                <w:szCs w:val="24"/>
              </w:rPr>
              <w:t>українська</w:t>
            </w:r>
          </w:p>
        </w:tc>
      </w:tr>
      <w:tr w14:paraId="5641CFD2">
        <w:tblPrEx>
          <w:tblCellMar>
            <w:top w:w="0" w:type="dxa"/>
            <w:left w:w="108" w:type="dxa"/>
            <w:bottom w:w="0" w:type="dxa"/>
            <w:right w:w="108" w:type="dxa"/>
          </w:tblCellMar>
        </w:tblPrEx>
        <w:trPr>
          <w:trHeight w:val="335" w:hRule="atLeast"/>
        </w:trPr>
        <w:tc>
          <w:tcPr>
            <w:tcW w:w="3743" w:type="dxa"/>
            <w:tcBorders>
              <w:top w:val="single" w:color="000000" w:sz="4" w:space="0"/>
              <w:left w:val="single" w:color="000000" w:sz="4" w:space="0"/>
              <w:bottom w:val="single" w:color="000000" w:sz="4" w:space="0"/>
              <w:right w:val="single" w:color="000000" w:sz="4" w:space="0"/>
            </w:tcBorders>
          </w:tcPr>
          <w:p w14:paraId="60E685F1">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sz w:val="24"/>
                <w:szCs w:val="24"/>
              </w:rPr>
            </w:pPr>
            <w:r>
              <w:rPr>
                <w:color w:val="000000"/>
                <w:sz w:val="24"/>
                <w:szCs w:val="24"/>
              </w:rPr>
              <w:t>Вид підсумкового контролю</w:t>
            </w:r>
          </w:p>
        </w:tc>
        <w:tc>
          <w:tcPr>
            <w:tcW w:w="6673" w:type="dxa"/>
            <w:tcBorders>
              <w:top w:val="single" w:color="000000" w:sz="4" w:space="0"/>
              <w:left w:val="single" w:color="000000" w:sz="4" w:space="0"/>
              <w:bottom w:val="single" w:color="000000" w:sz="4" w:space="0"/>
              <w:right w:val="single" w:color="000000" w:sz="4" w:space="0"/>
            </w:tcBorders>
          </w:tcPr>
          <w:p w14:paraId="06333100">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jc w:val="center"/>
              <w:rPr>
                <w:color w:val="000000"/>
                <w:sz w:val="24"/>
                <w:szCs w:val="24"/>
              </w:rPr>
            </w:pPr>
            <w:r>
              <w:rPr>
                <w:b/>
                <w:bCs/>
                <w:color w:val="000000"/>
                <w:sz w:val="24"/>
                <w:szCs w:val="24"/>
              </w:rPr>
              <w:t>залік</w:t>
            </w:r>
          </w:p>
        </w:tc>
      </w:tr>
      <w:tr w14:paraId="654EBCD8">
        <w:tblPrEx>
          <w:tblCellMar>
            <w:top w:w="0" w:type="dxa"/>
            <w:left w:w="108" w:type="dxa"/>
            <w:bottom w:w="0" w:type="dxa"/>
            <w:right w:w="108" w:type="dxa"/>
          </w:tblCellMar>
        </w:tblPrEx>
        <w:trPr>
          <w:trHeight w:val="676" w:hRule="atLeast"/>
        </w:trPr>
        <w:tc>
          <w:tcPr>
            <w:tcW w:w="3743" w:type="dxa"/>
            <w:tcBorders>
              <w:top w:val="single" w:color="000000" w:sz="4" w:space="0"/>
              <w:left w:val="single" w:color="000000" w:sz="4" w:space="0"/>
              <w:bottom w:val="single" w:color="000000" w:sz="4" w:space="0"/>
              <w:right w:val="single" w:color="000000" w:sz="4" w:space="0"/>
            </w:tcBorders>
          </w:tcPr>
          <w:p w14:paraId="4439C006">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sz w:val="24"/>
                <w:szCs w:val="24"/>
              </w:rPr>
            </w:pPr>
            <w:r>
              <w:rPr>
                <w:color w:val="000000"/>
                <w:sz w:val="24"/>
                <w:szCs w:val="24"/>
              </w:rPr>
              <w:t>Сторінка дисципліни на сайті</w:t>
            </w:r>
          </w:p>
        </w:tc>
        <w:tc>
          <w:tcPr>
            <w:tcW w:w="6673" w:type="dxa"/>
            <w:tcBorders>
              <w:top w:val="single" w:color="000000" w:sz="4" w:space="0"/>
              <w:left w:val="single" w:color="000000" w:sz="4" w:space="0"/>
              <w:bottom w:val="single" w:color="000000" w:sz="4" w:space="0"/>
              <w:right w:val="single" w:color="000000" w:sz="4" w:space="0"/>
            </w:tcBorders>
          </w:tcPr>
          <w:p w14:paraId="178876D2">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jc w:val="center"/>
              <w:rPr>
                <w:color w:val="000000"/>
                <w:sz w:val="24"/>
                <w:szCs w:val="24"/>
              </w:rPr>
            </w:pPr>
          </w:p>
        </w:tc>
      </w:tr>
    </w:tbl>
    <w:p w14:paraId="1CA97CD0">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center"/>
        <w:rPr>
          <w:color w:val="000000"/>
          <w:sz w:val="28"/>
          <w:szCs w:val="28"/>
        </w:rPr>
      </w:pPr>
    </w:p>
    <w:p w14:paraId="4727C600">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color w:val="000000"/>
          <w:sz w:val="24"/>
          <w:szCs w:val="24"/>
        </w:rPr>
      </w:pPr>
      <w:r>
        <w:rPr>
          <w:b/>
          <w:bCs/>
          <w:color w:val="000000"/>
          <w:sz w:val="24"/>
          <w:szCs w:val="24"/>
        </w:rPr>
        <w:t>Загальна інформація про викладача. Контактна інформація.</w:t>
      </w:r>
    </w:p>
    <w:p w14:paraId="6F4CE5AB">
      <w:pPr>
        <w:ind w:left="0" w:hanging="2"/>
        <w:jc w:val="center"/>
        <w:rPr>
          <w:sz w:val="24"/>
          <w:szCs w:val="24"/>
        </w:rPr>
      </w:pPr>
    </w:p>
    <w:tbl>
      <w:tblPr>
        <w:tblStyle w:val="62"/>
        <w:tblpPr w:leftFromText="180" w:rightFromText="180" w:vertAnchor="text" w:tblpX="39"/>
        <w:tblW w:w="10416" w:type="dxa"/>
        <w:tblInd w:w="0" w:type="dxa"/>
        <w:tblLayout w:type="fixed"/>
        <w:tblCellMar>
          <w:top w:w="0" w:type="dxa"/>
          <w:left w:w="108" w:type="dxa"/>
          <w:bottom w:w="0" w:type="dxa"/>
          <w:right w:w="108" w:type="dxa"/>
        </w:tblCellMar>
      </w:tblPr>
      <w:tblGrid>
        <w:gridCol w:w="3366"/>
        <w:gridCol w:w="7050"/>
      </w:tblGrid>
      <w:tr w14:paraId="41B89161">
        <w:tblPrEx>
          <w:tblCellMar>
            <w:top w:w="0" w:type="dxa"/>
            <w:left w:w="108" w:type="dxa"/>
            <w:bottom w:w="0" w:type="dxa"/>
            <w:right w:w="108" w:type="dxa"/>
          </w:tblCellMar>
        </w:tblPrEx>
        <w:trPr>
          <w:trHeight w:val="390" w:hRule="atLeast"/>
        </w:trPr>
        <w:tc>
          <w:tcPr>
            <w:tcW w:w="10416" w:type="dxa"/>
            <w:gridSpan w:val="2"/>
            <w:tcBorders>
              <w:top w:val="single" w:color="000000" w:sz="4" w:space="0"/>
              <w:left w:val="single" w:color="000000" w:sz="4" w:space="0"/>
              <w:bottom w:val="single" w:color="000000" w:sz="4" w:space="0"/>
              <w:right w:val="single" w:color="000000" w:sz="4" w:space="0"/>
            </w:tcBorders>
          </w:tcPr>
          <w:p w14:paraId="45F1F8D9">
            <w:pPr>
              <w:suppressAutoHyphens/>
              <w:ind w:left="1" w:hanging="3"/>
              <w:jc w:val="both"/>
              <w:rPr>
                <w:b/>
                <w:sz w:val="28"/>
                <w:szCs w:val="28"/>
                <w:lang w:val="uk-UA"/>
              </w:rPr>
            </w:pPr>
            <w:r>
              <w:rPr>
                <w:b/>
                <w:sz w:val="28"/>
                <w:szCs w:val="28"/>
                <w:lang w:val="uk-UA"/>
              </w:rPr>
              <w:t>Хіміч Св</w:t>
            </w:r>
            <w:r>
              <w:rPr>
                <w:b/>
                <w:sz w:val="28"/>
                <w:szCs w:val="28"/>
                <w:lang w:val="en-US"/>
              </w:rPr>
              <w:t>’</w:t>
            </w:r>
            <w:r>
              <w:rPr>
                <w:b/>
                <w:sz w:val="28"/>
                <w:szCs w:val="28"/>
                <w:lang w:val="uk-UA"/>
              </w:rPr>
              <w:t>ятослав Володимирович</w:t>
            </w:r>
          </w:p>
        </w:tc>
      </w:tr>
      <w:tr w14:paraId="7A50CEAD">
        <w:tblPrEx>
          <w:tblCellMar>
            <w:top w:w="0" w:type="dxa"/>
            <w:left w:w="108" w:type="dxa"/>
            <w:bottom w:w="0" w:type="dxa"/>
            <w:right w:w="108" w:type="dxa"/>
          </w:tblCellMar>
        </w:tblPrEx>
        <w:trPr>
          <w:trHeight w:val="478" w:hRule="atLeast"/>
        </w:trPr>
        <w:tc>
          <w:tcPr>
            <w:tcW w:w="3366" w:type="dxa"/>
            <w:tcBorders>
              <w:top w:val="single" w:color="000000" w:sz="4" w:space="0"/>
              <w:left w:val="single" w:color="000000" w:sz="4" w:space="0"/>
              <w:bottom w:val="single" w:color="000000" w:sz="4" w:space="0"/>
              <w:right w:val="single" w:color="000000" w:sz="4" w:space="0"/>
            </w:tcBorders>
          </w:tcPr>
          <w:p w14:paraId="54064792">
            <w:pPr>
              <w:suppressAutoHyphens/>
              <w:ind w:left="0" w:hanging="2"/>
            </w:pPr>
            <w:r>
              <w:rPr>
                <w:b/>
                <w:bCs/>
                <w:sz w:val="24"/>
                <w:szCs w:val="24"/>
              </w:rPr>
              <w:t>Науковий ступінь</w:t>
            </w:r>
          </w:p>
        </w:tc>
        <w:tc>
          <w:tcPr>
            <w:tcW w:w="7050" w:type="dxa"/>
            <w:tcBorders>
              <w:top w:val="single" w:color="000000" w:sz="4" w:space="0"/>
              <w:left w:val="single" w:color="000000" w:sz="4" w:space="0"/>
              <w:bottom w:val="single" w:color="000000" w:sz="4" w:space="0"/>
              <w:right w:val="single" w:color="000000" w:sz="4" w:space="0"/>
            </w:tcBorders>
          </w:tcPr>
          <w:p w14:paraId="12C01ECA">
            <w:pPr>
              <w:suppressAutoHyphens/>
              <w:ind w:left="0" w:hanging="2"/>
              <w:jc w:val="both"/>
            </w:pPr>
            <w:r>
              <w:rPr>
                <w:sz w:val="24"/>
                <w:szCs w:val="24"/>
              </w:rPr>
              <w:t>Phd</w:t>
            </w:r>
          </w:p>
        </w:tc>
      </w:tr>
      <w:tr w14:paraId="6582CF6D">
        <w:tblPrEx>
          <w:tblCellMar>
            <w:top w:w="0" w:type="dxa"/>
            <w:left w:w="108" w:type="dxa"/>
            <w:bottom w:w="0" w:type="dxa"/>
            <w:right w:w="108" w:type="dxa"/>
          </w:tblCellMar>
        </w:tblPrEx>
        <w:trPr>
          <w:trHeight w:val="328" w:hRule="atLeast"/>
        </w:trPr>
        <w:tc>
          <w:tcPr>
            <w:tcW w:w="3366" w:type="dxa"/>
            <w:tcBorders>
              <w:top w:val="single" w:color="000000" w:sz="4" w:space="0"/>
              <w:left w:val="single" w:color="000000" w:sz="4" w:space="0"/>
              <w:bottom w:val="single" w:color="000000" w:sz="4" w:space="0"/>
              <w:right w:val="single" w:color="000000" w:sz="4" w:space="0"/>
            </w:tcBorders>
          </w:tcPr>
          <w:p w14:paraId="5FEFBBC5">
            <w:pPr>
              <w:suppressAutoHyphens/>
              <w:ind w:left="0" w:hanging="2"/>
            </w:pPr>
            <w:r>
              <w:rPr>
                <w:b/>
                <w:bCs/>
                <w:sz w:val="24"/>
                <w:szCs w:val="24"/>
              </w:rPr>
              <w:t>Вчене звання</w:t>
            </w:r>
          </w:p>
        </w:tc>
        <w:tc>
          <w:tcPr>
            <w:tcW w:w="7050" w:type="dxa"/>
            <w:tcBorders>
              <w:top w:val="single" w:color="000000" w:sz="4" w:space="0"/>
              <w:left w:val="single" w:color="000000" w:sz="4" w:space="0"/>
              <w:bottom w:val="single" w:color="000000" w:sz="4" w:space="0"/>
              <w:right w:val="single" w:color="000000" w:sz="4" w:space="0"/>
            </w:tcBorders>
          </w:tcPr>
          <w:p w14:paraId="40CBD96F">
            <w:pPr>
              <w:suppressAutoHyphens/>
              <w:ind w:left="0" w:hanging="2"/>
              <w:jc w:val="both"/>
              <w:rPr>
                <w:sz w:val="28"/>
                <w:szCs w:val="28"/>
              </w:rPr>
            </w:pPr>
            <w:r>
              <w:rPr>
                <w:sz w:val="24"/>
                <w:szCs w:val="24"/>
              </w:rPr>
              <w:t>доктор філософії з галузі знань «Економіка»</w:t>
            </w:r>
          </w:p>
        </w:tc>
      </w:tr>
      <w:tr w14:paraId="7D6F07E1">
        <w:tblPrEx>
          <w:tblCellMar>
            <w:top w:w="0" w:type="dxa"/>
            <w:left w:w="108" w:type="dxa"/>
            <w:bottom w:w="0" w:type="dxa"/>
            <w:right w:w="108" w:type="dxa"/>
          </w:tblCellMar>
        </w:tblPrEx>
        <w:trPr>
          <w:trHeight w:val="328" w:hRule="atLeast"/>
        </w:trPr>
        <w:tc>
          <w:tcPr>
            <w:tcW w:w="3366" w:type="dxa"/>
            <w:tcBorders>
              <w:top w:val="single" w:color="000000" w:sz="4" w:space="0"/>
              <w:left w:val="single" w:color="000000" w:sz="4" w:space="0"/>
              <w:bottom w:val="single" w:color="000000" w:sz="4" w:space="0"/>
              <w:right w:val="single" w:color="000000" w:sz="4" w:space="0"/>
            </w:tcBorders>
          </w:tcPr>
          <w:p w14:paraId="58895C4C">
            <w:pPr>
              <w:suppressAutoHyphens/>
              <w:ind w:left="0" w:hanging="2"/>
            </w:pPr>
            <w:r>
              <w:rPr>
                <w:b/>
                <w:bCs/>
                <w:sz w:val="24"/>
                <w:szCs w:val="24"/>
              </w:rPr>
              <w:t>Посада</w:t>
            </w:r>
          </w:p>
        </w:tc>
        <w:tc>
          <w:tcPr>
            <w:tcW w:w="7050" w:type="dxa"/>
            <w:tcBorders>
              <w:top w:val="single" w:color="000000" w:sz="4" w:space="0"/>
              <w:left w:val="single" w:color="000000" w:sz="4" w:space="0"/>
              <w:bottom w:val="single" w:color="000000" w:sz="4" w:space="0"/>
              <w:right w:val="single" w:color="000000" w:sz="4" w:space="0"/>
            </w:tcBorders>
          </w:tcPr>
          <w:p w14:paraId="13985F2C">
            <w:pPr>
              <w:suppressAutoHyphens/>
              <w:ind w:left="0" w:hanging="2"/>
              <w:jc w:val="both"/>
              <w:rPr>
                <w:sz w:val="24"/>
                <w:szCs w:val="24"/>
              </w:rPr>
            </w:pPr>
            <w:r>
              <w:rPr>
                <w:sz w:val="24"/>
                <w:szCs w:val="24"/>
                <w:lang w:val="uk-UA"/>
              </w:rPr>
              <w:t>доцент</w:t>
            </w:r>
            <w:r>
              <w:rPr>
                <w:sz w:val="24"/>
                <w:szCs w:val="24"/>
              </w:rPr>
              <w:t xml:space="preserve"> кафедри фінансів,банківської та страхової справи</w:t>
            </w:r>
          </w:p>
        </w:tc>
      </w:tr>
      <w:tr w14:paraId="71C54D0E">
        <w:tblPrEx>
          <w:tblCellMar>
            <w:top w:w="0" w:type="dxa"/>
            <w:left w:w="108" w:type="dxa"/>
            <w:bottom w:w="0" w:type="dxa"/>
            <w:right w:w="108" w:type="dxa"/>
          </w:tblCellMar>
        </w:tblPrEx>
        <w:tc>
          <w:tcPr>
            <w:tcW w:w="3366" w:type="dxa"/>
            <w:tcBorders>
              <w:top w:val="single" w:color="000000" w:sz="4" w:space="0"/>
              <w:left w:val="single" w:color="000000" w:sz="4" w:space="0"/>
              <w:bottom w:val="single" w:color="000000" w:sz="4" w:space="0"/>
              <w:right w:val="single" w:color="000000" w:sz="4" w:space="0"/>
            </w:tcBorders>
          </w:tcPr>
          <w:p w14:paraId="754F3A5B">
            <w:pPr>
              <w:suppressAutoHyphens/>
              <w:ind w:left="0" w:hanging="2"/>
            </w:pPr>
            <w:r>
              <w:rPr>
                <w:b/>
                <w:bCs/>
                <w:sz w:val="24"/>
                <w:szCs w:val="24"/>
              </w:rPr>
              <w:t>Дисципліни, які викладає НПП</w:t>
            </w:r>
          </w:p>
        </w:tc>
        <w:tc>
          <w:tcPr>
            <w:tcW w:w="7050" w:type="dxa"/>
            <w:tcBorders>
              <w:top w:val="single" w:color="000000" w:sz="4" w:space="0"/>
              <w:left w:val="single" w:color="000000" w:sz="4" w:space="0"/>
              <w:bottom w:val="single" w:color="000000" w:sz="4" w:space="0"/>
              <w:right w:val="single" w:color="000000" w:sz="4" w:space="0"/>
            </w:tcBorders>
          </w:tcPr>
          <w:p w14:paraId="101F012C">
            <w:pPr>
              <w:suppressAutoHyphens/>
              <w:ind w:left="0" w:hanging="2"/>
              <w:jc w:val="both"/>
              <w:rPr>
                <w:sz w:val="24"/>
                <w:szCs w:val="24"/>
              </w:rPr>
            </w:pPr>
            <w:r>
              <w:rPr>
                <w:sz w:val="24"/>
                <w:szCs w:val="24"/>
              </w:rPr>
              <w:t>Фінанси, Сучасна політика ціноутворення, Ціноутворення,</w:t>
            </w:r>
            <w:r>
              <w:rPr>
                <w:sz w:val="24"/>
                <w:szCs w:val="24"/>
              </w:rPr>
              <w:br w:type="textWrapping"/>
            </w:r>
            <w:r>
              <w:rPr>
                <w:sz w:val="24"/>
                <w:szCs w:val="24"/>
              </w:rPr>
              <w:t>Професійна та корпоративна етика</w:t>
            </w:r>
          </w:p>
        </w:tc>
      </w:tr>
      <w:tr w14:paraId="0BA23B12">
        <w:tblPrEx>
          <w:tblCellMar>
            <w:top w:w="0" w:type="dxa"/>
            <w:left w:w="108" w:type="dxa"/>
            <w:bottom w:w="0" w:type="dxa"/>
            <w:right w:w="108" w:type="dxa"/>
          </w:tblCellMar>
        </w:tblPrEx>
        <w:tc>
          <w:tcPr>
            <w:tcW w:w="3366" w:type="dxa"/>
            <w:tcBorders>
              <w:top w:val="single" w:color="000000" w:sz="4" w:space="0"/>
              <w:left w:val="single" w:color="000000" w:sz="4" w:space="0"/>
              <w:bottom w:val="single" w:color="000000" w:sz="4" w:space="0"/>
              <w:right w:val="single" w:color="000000" w:sz="4" w:space="0"/>
            </w:tcBorders>
          </w:tcPr>
          <w:p w14:paraId="3D996648">
            <w:pPr>
              <w:suppressAutoHyphens/>
              <w:ind w:left="0" w:hanging="2"/>
            </w:pPr>
            <w:r>
              <w:rPr>
                <w:b/>
                <w:bCs/>
                <w:sz w:val="24"/>
                <w:szCs w:val="24"/>
              </w:rPr>
              <w:t>Напрями наукових досліджень</w:t>
            </w:r>
          </w:p>
        </w:tc>
        <w:tc>
          <w:tcPr>
            <w:tcW w:w="7050" w:type="dxa"/>
            <w:tcBorders>
              <w:top w:val="single" w:color="000000" w:sz="4" w:space="0"/>
              <w:left w:val="single" w:color="000000" w:sz="4" w:space="0"/>
              <w:bottom w:val="single" w:color="000000" w:sz="4" w:space="0"/>
              <w:right w:val="single" w:color="000000" w:sz="4" w:space="0"/>
            </w:tcBorders>
          </w:tcPr>
          <w:p w14:paraId="7B0F9453">
            <w:pPr>
              <w:suppressAutoHyphens/>
              <w:ind w:left="0" w:hanging="2"/>
              <w:jc w:val="both"/>
              <w:rPr>
                <w:sz w:val="24"/>
                <w:szCs w:val="24"/>
              </w:rPr>
            </w:pPr>
            <w:r>
              <w:rPr>
                <w:sz w:val="24"/>
                <w:szCs w:val="24"/>
              </w:rPr>
              <w:t>Фінанси, страхування</w:t>
            </w:r>
          </w:p>
        </w:tc>
      </w:tr>
      <w:tr w14:paraId="77961B11">
        <w:tblPrEx>
          <w:tblCellMar>
            <w:top w:w="0" w:type="dxa"/>
            <w:left w:w="108" w:type="dxa"/>
            <w:bottom w:w="0" w:type="dxa"/>
            <w:right w:w="108" w:type="dxa"/>
          </w:tblCellMar>
        </w:tblPrEx>
        <w:tc>
          <w:tcPr>
            <w:tcW w:w="3366" w:type="dxa"/>
            <w:tcBorders>
              <w:top w:val="single" w:color="000000" w:sz="4" w:space="0"/>
              <w:left w:val="single" w:color="000000" w:sz="4" w:space="0"/>
              <w:bottom w:val="single" w:color="000000" w:sz="4" w:space="0"/>
              <w:right w:val="single" w:color="000000" w:sz="4" w:space="0"/>
            </w:tcBorders>
          </w:tcPr>
          <w:p w14:paraId="2969DEA2">
            <w:pPr>
              <w:suppressAutoHyphens/>
              <w:ind w:left="0" w:hanging="2"/>
            </w:pPr>
            <w:r>
              <w:rPr>
                <w:b/>
                <w:bCs/>
                <w:sz w:val="24"/>
                <w:szCs w:val="24"/>
              </w:rPr>
              <w:t>Посилання на реєстри ідентифікаторів для науковців</w:t>
            </w:r>
          </w:p>
        </w:tc>
        <w:tc>
          <w:tcPr>
            <w:tcW w:w="7050" w:type="dxa"/>
            <w:tcBorders>
              <w:top w:val="single" w:color="000000" w:sz="4" w:space="0"/>
              <w:left w:val="single" w:color="000000" w:sz="4" w:space="0"/>
              <w:bottom w:val="single" w:color="000000" w:sz="4" w:space="0"/>
              <w:right w:val="single" w:color="000000" w:sz="4" w:space="0"/>
            </w:tcBorders>
          </w:tcPr>
          <w:p w14:paraId="65AFC8A5">
            <w:pPr>
              <w:suppressAutoHyphens/>
              <w:ind w:left="0" w:hanging="2"/>
              <w:jc w:val="both"/>
              <w:rPr>
                <w:sz w:val="24"/>
                <w:szCs w:val="24"/>
              </w:rPr>
            </w:pPr>
            <w:r>
              <w:rPr>
                <w:sz w:val="24"/>
                <w:szCs w:val="24"/>
              </w:rPr>
              <w:t xml:space="preserve"> https://orcid.org/my-orcid?orcid=0009-0000-8811-</w:t>
            </w:r>
          </w:p>
          <w:p w14:paraId="300962FB">
            <w:pPr>
              <w:suppressAutoHyphens/>
              <w:ind w:left="0" w:hanging="2"/>
              <w:jc w:val="both"/>
              <w:rPr>
                <w:sz w:val="24"/>
                <w:szCs w:val="24"/>
              </w:rPr>
            </w:pPr>
            <w:r>
              <w:rPr>
                <w:sz w:val="24"/>
                <w:szCs w:val="24"/>
              </w:rPr>
              <w:t>8801</w:t>
            </w:r>
          </w:p>
          <w:p w14:paraId="1022D072">
            <w:pPr>
              <w:suppressAutoHyphens/>
              <w:ind w:left="0" w:hanging="2"/>
              <w:jc w:val="both"/>
              <w:rPr>
                <w:sz w:val="24"/>
                <w:szCs w:val="24"/>
              </w:rPr>
            </w:pPr>
          </w:p>
        </w:tc>
      </w:tr>
      <w:tr w14:paraId="6DB87948">
        <w:tblPrEx>
          <w:tblCellMar>
            <w:top w:w="0" w:type="dxa"/>
            <w:left w:w="108" w:type="dxa"/>
            <w:bottom w:w="0" w:type="dxa"/>
            <w:right w:w="108" w:type="dxa"/>
          </w:tblCellMar>
        </w:tblPrEx>
        <w:tc>
          <w:tcPr>
            <w:tcW w:w="10416" w:type="dxa"/>
            <w:gridSpan w:val="2"/>
            <w:tcBorders>
              <w:top w:val="single" w:color="000000" w:sz="4" w:space="0"/>
              <w:left w:val="single" w:color="000000" w:sz="4" w:space="0"/>
              <w:bottom w:val="single" w:color="000000" w:sz="4" w:space="0"/>
              <w:right w:val="single" w:color="000000" w:sz="4" w:space="0"/>
            </w:tcBorders>
          </w:tcPr>
          <w:p w14:paraId="43BDAFCD">
            <w:pPr>
              <w:suppressAutoHyphens/>
              <w:ind w:left="0" w:hanging="2"/>
              <w:jc w:val="center"/>
            </w:pPr>
            <w:r>
              <w:rPr>
                <w:sz w:val="24"/>
                <w:szCs w:val="24"/>
              </w:rPr>
              <w:t>Контактна інформація викладача:</w:t>
            </w:r>
          </w:p>
        </w:tc>
      </w:tr>
      <w:tr w14:paraId="007ECEDD">
        <w:tblPrEx>
          <w:tblCellMar>
            <w:top w:w="0" w:type="dxa"/>
            <w:left w:w="108" w:type="dxa"/>
            <w:bottom w:w="0" w:type="dxa"/>
            <w:right w:w="108" w:type="dxa"/>
          </w:tblCellMar>
        </w:tblPrEx>
        <w:trPr>
          <w:trHeight w:val="376" w:hRule="atLeast"/>
        </w:trPr>
        <w:tc>
          <w:tcPr>
            <w:tcW w:w="3366" w:type="dxa"/>
            <w:tcBorders>
              <w:top w:val="single" w:color="000000" w:sz="4" w:space="0"/>
              <w:left w:val="single" w:color="000000" w:sz="4" w:space="0"/>
              <w:bottom w:val="single" w:color="000000" w:sz="4" w:space="0"/>
              <w:right w:val="single" w:color="000000" w:sz="4" w:space="0"/>
            </w:tcBorders>
          </w:tcPr>
          <w:p w14:paraId="670453C2">
            <w:pPr>
              <w:suppressAutoHyphens/>
              <w:ind w:left="0" w:hanging="2"/>
            </w:pPr>
            <w:r>
              <w:rPr>
                <w:b/>
                <w:bCs/>
                <w:sz w:val="24"/>
                <w:szCs w:val="24"/>
              </w:rPr>
              <w:t>E-mail:</w:t>
            </w:r>
          </w:p>
        </w:tc>
        <w:tc>
          <w:tcPr>
            <w:tcW w:w="7050" w:type="dxa"/>
            <w:tcBorders>
              <w:top w:val="single" w:color="000000" w:sz="4" w:space="0"/>
              <w:left w:val="single" w:color="000000" w:sz="4" w:space="0"/>
              <w:bottom w:val="single" w:color="000000" w:sz="4" w:space="0"/>
              <w:right w:val="single" w:color="000000" w:sz="4" w:space="0"/>
            </w:tcBorders>
          </w:tcPr>
          <w:p w14:paraId="57B33C39">
            <w:pPr>
              <w:suppressAutoHyphens/>
              <w:ind w:left="0" w:hanging="2"/>
              <w:jc w:val="both"/>
              <w:rPr>
                <w:sz w:val="24"/>
                <w:szCs w:val="24"/>
              </w:rPr>
            </w:pPr>
            <w:r>
              <w:rPr>
                <w:sz w:val="24"/>
                <w:szCs w:val="24"/>
              </w:rPr>
              <w:t>sviathim@gmail.com</w:t>
            </w:r>
          </w:p>
          <w:p w14:paraId="38EDE434">
            <w:pPr>
              <w:suppressAutoHyphens/>
              <w:ind w:left="0" w:hanging="2"/>
              <w:jc w:val="both"/>
              <w:rPr>
                <w:sz w:val="24"/>
                <w:szCs w:val="24"/>
              </w:rPr>
            </w:pPr>
          </w:p>
        </w:tc>
      </w:tr>
      <w:tr w14:paraId="2AD3E69C">
        <w:tblPrEx>
          <w:tblCellMar>
            <w:top w:w="0" w:type="dxa"/>
            <w:left w:w="108" w:type="dxa"/>
            <w:bottom w:w="0" w:type="dxa"/>
            <w:right w:w="108" w:type="dxa"/>
          </w:tblCellMar>
        </w:tblPrEx>
        <w:trPr>
          <w:trHeight w:val="320" w:hRule="atLeast"/>
        </w:trPr>
        <w:tc>
          <w:tcPr>
            <w:tcW w:w="3366" w:type="dxa"/>
            <w:tcBorders>
              <w:top w:val="single" w:color="000000" w:sz="4" w:space="0"/>
              <w:left w:val="single" w:color="000000" w:sz="4" w:space="0"/>
              <w:bottom w:val="single" w:color="000000" w:sz="4" w:space="0"/>
              <w:right w:val="single" w:color="000000" w:sz="4" w:space="0"/>
            </w:tcBorders>
          </w:tcPr>
          <w:p w14:paraId="4F0C9BB9">
            <w:pPr>
              <w:suppressAutoHyphens/>
              <w:ind w:left="0" w:hanging="2"/>
            </w:pPr>
            <w:r>
              <w:rPr>
                <w:b/>
                <w:bCs/>
                <w:sz w:val="24"/>
                <w:szCs w:val="24"/>
              </w:rPr>
              <w:t>Контактний тел.</w:t>
            </w:r>
          </w:p>
        </w:tc>
        <w:tc>
          <w:tcPr>
            <w:tcW w:w="7050" w:type="dxa"/>
            <w:tcBorders>
              <w:top w:val="single" w:color="000000" w:sz="4" w:space="0"/>
              <w:left w:val="single" w:color="000000" w:sz="4" w:space="0"/>
              <w:bottom w:val="single" w:color="000000" w:sz="4" w:space="0"/>
              <w:right w:val="single" w:color="000000" w:sz="4" w:space="0"/>
            </w:tcBorders>
          </w:tcPr>
          <w:p w14:paraId="4301CF0E">
            <w:pPr>
              <w:suppressAutoHyphens/>
              <w:ind w:left="0" w:hanging="2"/>
              <w:jc w:val="both"/>
              <w:rPr>
                <w:sz w:val="24"/>
                <w:szCs w:val="24"/>
              </w:rPr>
            </w:pPr>
            <w:r>
              <w:rPr>
                <w:sz w:val="24"/>
                <w:szCs w:val="24"/>
              </w:rPr>
              <w:t xml:space="preserve"> +38 068 025 2006</w:t>
            </w:r>
          </w:p>
        </w:tc>
      </w:tr>
      <w:tr w14:paraId="46495AF0">
        <w:tblPrEx>
          <w:tblCellMar>
            <w:top w:w="0" w:type="dxa"/>
            <w:left w:w="108" w:type="dxa"/>
            <w:bottom w:w="0" w:type="dxa"/>
            <w:right w:w="108" w:type="dxa"/>
          </w:tblCellMar>
        </w:tblPrEx>
        <w:tc>
          <w:tcPr>
            <w:tcW w:w="3366" w:type="dxa"/>
            <w:tcBorders>
              <w:top w:val="single" w:color="000000" w:sz="4" w:space="0"/>
              <w:left w:val="single" w:color="000000" w:sz="4" w:space="0"/>
              <w:bottom w:val="single" w:color="000000" w:sz="4" w:space="0"/>
              <w:right w:val="single" w:color="000000" w:sz="4" w:space="0"/>
            </w:tcBorders>
          </w:tcPr>
          <w:p w14:paraId="7937E0BA">
            <w:pPr>
              <w:suppressAutoHyphens/>
              <w:ind w:left="0" w:hanging="2"/>
            </w:pPr>
            <w:r>
              <w:rPr>
                <w:b/>
                <w:bCs/>
                <w:sz w:val="24"/>
                <w:szCs w:val="24"/>
              </w:rPr>
              <w:t>Портфоліо викладача на сайті кафедри / Інституту / Академії</w:t>
            </w:r>
          </w:p>
        </w:tc>
        <w:tc>
          <w:tcPr>
            <w:tcW w:w="7050" w:type="dxa"/>
            <w:tcBorders>
              <w:top w:val="single" w:color="000000" w:sz="4" w:space="0"/>
              <w:left w:val="single" w:color="000000" w:sz="4" w:space="0"/>
              <w:bottom w:val="single" w:color="000000" w:sz="4" w:space="0"/>
              <w:right w:val="single" w:color="000000" w:sz="4" w:space="0"/>
            </w:tcBorders>
          </w:tcPr>
          <w:p w14:paraId="3A175ABC">
            <w:pPr>
              <w:suppressAutoHyphens/>
              <w:ind w:left="0" w:hanging="2"/>
              <w:jc w:val="both"/>
              <w:rPr>
                <w:sz w:val="24"/>
                <w:szCs w:val="24"/>
              </w:rPr>
            </w:pPr>
          </w:p>
        </w:tc>
      </w:tr>
    </w:tbl>
    <w:p w14:paraId="2D90E0D2">
      <w:pPr>
        <w:ind w:left="0" w:hanging="2"/>
        <w:jc w:val="both"/>
        <w:rPr>
          <w:sz w:val="24"/>
          <w:szCs w:val="24"/>
        </w:rPr>
      </w:pPr>
    </w:p>
    <w:p w14:paraId="179AD7CC">
      <w:p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rPr>
      </w:pPr>
      <w:r>
        <w:rPr>
          <w:b/>
          <w:sz w:val="24"/>
          <w:szCs w:val="24"/>
          <w:lang w:val="uk-UA"/>
        </w:rPr>
        <w:t>Анотація курсу.</w:t>
      </w:r>
      <w:r>
        <w:rPr>
          <w:b/>
          <w:bCs/>
          <w:sz w:val="24"/>
          <w:szCs w:val="24"/>
        </w:rPr>
        <w:t xml:space="preserve"> </w:t>
      </w:r>
      <w:r>
        <w:rPr>
          <w:sz w:val="24"/>
          <w:szCs w:val="24"/>
        </w:rPr>
        <w:t>Ціни та ціноутворення – провідні категорії ринку, гнучкий та потужний важіль управління результатами господарської діяльності підприємства. Їх формування виявляє визначальний вплив на формування структури виробництва, рух суспільного продукту в матеріально-речовій формі, ефективність розподілу та використання факторів виробництва та визначає рівень життя населення. Навчальна дисципліна «Ціноутворення» націлена на формування необхідних теоретичних знань у сфері ціноутворення на макрорівні та практичних навичок щодо розрахунку обґрунтованих цін на товари і послуги, що дозволить забезпечити ефективну господарську діяльність суб’єктів економіки та набуття ними переваг у ринковій ціновій конкуренції.</w:t>
      </w:r>
    </w:p>
    <w:p w14:paraId="0990EE84">
      <w:p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b/>
          <w:bCs/>
          <w:sz w:val="24"/>
          <w:szCs w:val="24"/>
          <w:lang w:val="uk-UA"/>
        </w:rPr>
        <w:t>Предмет навчальної дисципліни «Ціноутворення»</w:t>
      </w:r>
      <w:r>
        <w:rPr>
          <w:sz w:val="24"/>
          <w:szCs w:val="24"/>
          <w:lang w:val="uk-UA"/>
        </w:rPr>
        <w:t xml:space="preserve"> полягає у вивченні закономірностей формування цін на товари та послуги, факторів, що на них впливають, методів встановлення оптимальних цін, а також моделей та інструментів аналізу цінових процесів у діяльності підприємств і організацій з метою забезпечення ефективного управління прибутковістю та конкурентоспроможністю.</w:t>
      </w:r>
    </w:p>
    <w:p w14:paraId="49115DE8">
      <w:p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b/>
          <w:bCs/>
          <w:sz w:val="24"/>
          <w:szCs w:val="24"/>
          <w:lang w:val="uk-UA"/>
        </w:rPr>
        <w:t>Мета вивчення дисципліни</w:t>
      </w:r>
      <w:r>
        <w:rPr>
          <w:sz w:val="24"/>
          <w:szCs w:val="24"/>
          <w:lang w:val="uk-UA"/>
        </w:rPr>
        <w:t xml:space="preserve"> – формування у здобувачів здатності застосовувати методологію, методи та інструменти ціноутворення для оцінки вартості продукції, прогнозування цінових тенденцій та розробки ефективних управлінських рішень у сфері комерційної та фінансової діяльності підприємств.</w:t>
      </w:r>
    </w:p>
    <w:p w14:paraId="360A32AB">
      <w:p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b/>
          <w:bCs/>
          <w:sz w:val="24"/>
          <w:szCs w:val="24"/>
          <w:lang w:val="uk-UA"/>
        </w:rPr>
        <w:t>Завдання навчальної дисципліни</w:t>
      </w:r>
      <w:r>
        <w:rPr>
          <w:sz w:val="24"/>
          <w:szCs w:val="24"/>
          <w:lang w:val="uk-UA"/>
        </w:rPr>
        <w:t>:</w:t>
      </w:r>
    </w:p>
    <w:p w14:paraId="73450D13">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sz w:val="24"/>
          <w:szCs w:val="24"/>
          <w:lang w:val="uk-UA"/>
        </w:rPr>
        <w:t>ознайомлення студентів з теоретичними основами ціноутворення та сучасними підходами до формування цін;</w:t>
      </w:r>
    </w:p>
    <w:p w14:paraId="034ACCB7">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sz w:val="24"/>
          <w:szCs w:val="24"/>
          <w:lang w:val="uk-UA"/>
        </w:rPr>
        <w:t>формування навичок аналізу витрат, попиту, конкурентного середовища та факторів, що визначають цінову політику;</w:t>
      </w:r>
    </w:p>
    <w:p w14:paraId="6EA911B9">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sz w:val="24"/>
          <w:szCs w:val="24"/>
          <w:lang w:val="uk-UA"/>
        </w:rPr>
        <w:t>розвиток умінь визначати оптимальні ціни для різних видів продукції та послуг із врахуванням стратегічних цілей підприємства;</w:t>
      </w:r>
    </w:p>
    <w:p w14:paraId="09E38C18">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sz w:val="24"/>
          <w:szCs w:val="24"/>
          <w:lang w:val="uk-UA"/>
        </w:rPr>
        <w:t>навчання методам оцінки ефективності цінових рішень та прогнозування їхнього впливу на фінансові результати;</w:t>
      </w:r>
    </w:p>
    <w:p w14:paraId="66129699">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sz w:val="24"/>
          <w:szCs w:val="24"/>
          <w:lang w:val="uk-UA"/>
        </w:rPr>
        <w:t>формування здатності застосовувати сучасні інформаційно-аналітичні інструменти для обґрунтування цінових стратегій;</w:t>
      </w:r>
    </w:p>
    <w:p w14:paraId="21C21249">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sz w:val="24"/>
          <w:szCs w:val="24"/>
          <w:lang w:val="uk-UA"/>
        </w:rPr>
        <w:t>розвиток аналітичного мислення та здатності приймати комплексні управлінські рішення у сфері ціноутворення за умов невизначеності.</w:t>
      </w:r>
    </w:p>
    <w:p w14:paraId="4F1CFE2A">
      <w:p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b/>
          <w:bCs/>
          <w:sz w:val="24"/>
          <w:szCs w:val="24"/>
          <w:lang w:val="uk-UA"/>
        </w:rPr>
        <w:t>Пререквізити навчальної дисципліни.</w:t>
      </w:r>
      <w:r>
        <w:rPr>
          <w:sz w:val="24"/>
          <w:szCs w:val="24"/>
          <w:lang w:val="uk-UA"/>
        </w:rPr>
        <w:t xml:space="preserve"> Вивчення дисципліни «Ціноутворення» базується на знаннях та уміннях, отриманих здобувачами на рівні бакалаврату, зокрема: вища математика, статистика, теорія ймовірностей, мікроекономіка, макроекономіка, економіка підприємства, маркетинг, бізнес-аналітика.</w:t>
      </w:r>
    </w:p>
    <w:p w14:paraId="46A0D89A">
      <w:p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leftChars="0" w:firstLine="300" w:firstLineChars="125"/>
        <w:jc w:val="both"/>
        <w:rPr>
          <w:sz w:val="24"/>
          <w:szCs w:val="24"/>
          <w:lang w:val="uk-UA"/>
        </w:rPr>
      </w:pPr>
      <w:r>
        <w:rPr>
          <w:b/>
          <w:bCs/>
          <w:sz w:val="24"/>
          <w:szCs w:val="24"/>
          <w:lang w:val="uk-UA"/>
        </w:rPr>
        <w:t>Постреквізити навчальної дисципліни.</w:t>
      </w:r>
      <w:r>
        <w:rPr>
          <w:sz w:val="24"/>
          <w:szCs w:val="24"/>
          <w:lang w:val="uk-UA"/>
        </w:rPr>
        <w:t xml:space="preserve"> Знання та уміння, отримані студентами в процесі вивчення дисципліни «Ціноутворення», сприяють успішному опануванню інших навчальних дисциплін професійного циклу, таких як: стратегічне управління бізнесом, маркетинговий менеджмент, управління прибутковістю та фінансове планування, управління ризиками та управління змінами.</w:t>
      </w:r>
    </w:p>
    <w:p w14:paraId="58990970">
      <w:pPr>
        <w:pageBreakBefore/>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color w:val="000000"/>
          <w:sz w:val="24"/>
          <w:szCs w:val="24"/>
        </w:rPr>
      </w:pPr>
      <w:r>
        <w:rPr>
          <w:b/>
          <w:bCs/>
          <w:color w:val="000000"/>
          <w:sz w:val="24"/>
          <w:szCs w:val="24"/>
        </w:rPr>
        <w:t>Зміст навчальної дисципліни (денна форма навчання)</w:t>
      </w:r>
    </w:p>
    <w:p w14:paraId="16522ECF">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p>
    <w:tbl>
      <w:tblPr>
        <w:tblStyle w:val="63"/>
        <w:tblW w:w="10310" w:type="dxa"/>
        <w:tblInd w:w="-55" w:type="dxa"/>
        <w:tblLayout w:type="fixed"/>
        <w:tblCellMar>
          <w:top w:w="55" w:type="dxa"/>
          <w:left w:w="55" w:type="dxa"/>
          <w:bottom w:w="55" w:type="dxa"/>
          <w:right w:w="55" w:type="dxa"/>
        </w:tblCellMar>
      </w:tblPr>
      <w:tblGrid>
        <w:gridCol w:w="1134"/>
        <w:gridCol w:w="5670"/>
        <w:gridCol w:w="3506"/>
      </w:tblGrid>
      <w:tr w14:paraId="3335BA75">
        <w:tblPrEx>
          <w:tblCellMar>
            <w:top w:w="55" w:type="dxa"/>
            <w:left w:w="55" w:type="dxa"/>
            <w:bottom w:w="55" w:type="dxa"/>
            <w:right w:w="55" w:type="dxa"/>
          </w:tblCellMar>
        </w:tblPrEx>
        <w:trPr>
          <w:trHeight w:val="1896" w:hRule="atLeast"/>
        </w:trPr>
        <w:tc>
          <w:tcPr>
            <w:tcW w:w="1134" w:type="dxa"/>
            <w:tcBorders>
              <w:top w:val="single" w:color="000000" w:sz="4" w:space="0"/>
              <w:left w:val="single" w:color="000000" w:sz="4" w:space="0"/>
              <w:bottom w:val="single" w:color="000000" w:sz="4" w:space="0"/>
            </w:tcBorders>
          </w:tcPr>
          <w:p w14:paraId="2343B08C">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rPr>
            </w:pPr>
            <w:r>
              <w:rPr>
                <w:b/>
                <w:bCs/>
                <w:color w:val="000000"/>
              </w:rPr>
              <w:t>№</w:t>
            </w:r>
          </w:p>
        </w:tc>
        <w:tc>
          <w:tcPr>
            <w:tcW w:w="5670" w:type="dxa"/>
            <w:tcBorders>
              <w:top w:val="single" w:color="000000" w:sz="4" w:space="0"/>
              <w:left w:val="single" w:color="000000" w:sz="4" w:space="0"/>
              <w:bottom w:val="single" w:color="000000" w:sz="4" w:space="0"/>
            </w:tcBorders>
          </w:tcPr>
          <w:p w14:paraId="7B6AC090">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rPr>
            </w:pPr>
            <w:r>
              <w:rPr>
                <w:b/>
                <w:bCs/>
                <w:color w:val="000000"/>
              </w:rPr>
              <w:t>Назва теми</w:t>
            </w:r>
          </w:p>
        </w:tc>
        <w:tc>
          <w:tcPr>
            <w:tcW w:w="3506" w:type="dxa"/>
            <w:tcBorders>
              <w:top w:val="single" w:color="000000" w:sz="4" w:space="0"/>
              <w:left w:val="single" w:color="000000" w:sz="4" w:space="0"/>
              <w:bottom w:val="single" w:color="000000" w:sz="4" w:space="0"/>
              <w:right w:val="single" w:color="000000" w:sz="4" w:space="0"/>
            </w:tcBorders>
          </w:tcPr>
          <w:p w14:paraId="4DFA36A9">
            <w:pPr>
              <w:keepNext/>
              <w:pBdr>
                <w:top w:val="none" w:color="auto" w:sz="0" w:space="0"/>
                <w:left w:val="none" w:color="auto" w:sz="0" w:space="0"/>
                <w:bottom w:val="none" w:color="auto" w:sz="0" w:space="0"/>
                <w:right w:val="none" w:color="auto" w:sz="0" w:space="0"/>
                <w:between w:val="none" w:color="auto" w:sz="0" w:space="0"/>
              </w:pBdr>
              <w:tabs>
                <w:tab w:val="center" w:pos="4153"/>
                <w:tab w:val="center" w:pos="4677"/>
                <w:tab w:val="right" w:pos="8306"/>
                <w:tab w:val="right" w:pos="9355"/>
              </w:tabs>
              <w:suppressAutoHyphens/>
              <w:spacing w:line="240" w:lineRule="auto"/>
              <w:ind w:left="0" w:right="57" w:hanging="2"/>
              <w:jc w:val="center"/>
              <w:rPr>
                <w:color w:val="000000"/>
              </w:rPr>
            </w:pPr>
            <w:r>
              <w:rPr>
                <w:b/>
                <w:bCs/>
                <w:color w:val="000000"/>
              </w:rPr>
              <w:t>Методи навчання/методи оцінювання</w:t>
            </w:r>
          </w:p>
        </w:tc>
      </w:tr>
      <w:tr w14:paraId="0AAB8BAE">
        <w:tblPrEx>
          <w:tblCellMar>
            <w:top w:w="55" w:type="dxa"/>
            <w:left w:w="55" w:type="dxa"/>
            <w:bottom w:w="55" w:type="dxa"/>
            <w:right w:w="55" w:type="dxa"/>
          </w:tblCellMar>
        </w:tblPrEx>
        <w:tc>
          <w:tcPr>
            <w:tcW w:w="6804" w:type="dxa"/>
            <w:gridSpan w:val="2"/>
            <w:tcBorders>
              <w:left w:val="single" w:color="000000" w:sz="4" w:space="0"/>
              <w:bottom w:val="single" w:color="000000" w:sz="4" w:space="0"/>
            </w:tcBorders>
          </w:tcPr>
          <w:p w14:paraId="61CCB9E5">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b/>
                <w:bCs/>
                <w:color w:val="000000"/>
              </w:rPr>
              <w:t xml:space="preserve">ЗМІСТОВИЙ МОДУЛЬ 1. </w:t>
            </w:r>
            <w:r>
              <w:rPr>
                <w:b/>
                <w:bCs/>
                <w:sz w:val="24"/>
                <w:szCs w:val="24"/>
              </w:rPr>
              <w:t xml:space="preserve">Теоретичні основи ціноутворення </w:t>
            </w:r>
          </w:p>
        </w:tc>
        <w:tc>
          <w:tcPr>
            <w:tcW w:w="3506" w:type="dxa"/>
            <w:vMerge w:val="restart"/>
            <w:tcBorders>
              <w:left w:val="single" w:color="000000" w:sz="4" w:space="0"/>
              <w:right w:val="single" w:color="000000" w:sz="4" w:space="0"/>
            </w:tcBorders>
          </w:tcPr>
          <w:p w14:paraId="5B7B5446">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b/>
                <w:bCs/>
                <w:color w:val="000000"/>
              </w:rPr>
              <w:t>Методи навчання:</w:t>
            </w:r>
            <w:r>
              <w:rPr>
                <w:color w:val="000000"/>
              </w:rPr>
              <w:t xml:space="preserve"> словесні (навчальна лекція; бесіда; навчальна дискусія); </w:t>
            </w:r>
          </w:p>
          <w:p w14:paraId="79B80B11">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індуктивний метод; дедуктивний метод; </w:t>
            </w:r>
          </w:p>
          <w:p w14:paraId="4CC3A3AF">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аналітичний метод; синтетичний метод; </w:t>
            </w:r>
          </w:p>
          <w:p w14:paraId="5BBE94ED">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практичний (робота з економічними моделями, статистичними даними, графіками); </w:t>
            </w:r>
          </w:p>
          <w:p w14:paraId="1B6CF969">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пояснювально-ілюстративний; репродуктивний; </w:t>
            </w:r>
          </w:p>
          <w:p w14:paraId="7CD9AE5F">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метод проблемного викладу; </w:t>
            </w:r>
          </w:p>
          <w:p w14:paraId="08CDBB41">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частково-пошуковий; </w:t>
            </w:r>
          </w:p>
          <w:p w14:paraId="3132F7F1">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дослідницький; </w:t>
            </w:r>
          </w:p>
          <w:p w14:paraId="45E5A7F4">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інтерактивні методи (аналіз економічних ситуацій; дискусії, дебати; мозковий штурм; ситуативне моделювання; відпрацювання навичок моделювання); </w:t>
            </w:r>
          </w:p>
          <w:p w14:paraId="46E0C470">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кейс-метод (аналіз реальних економічних ситуацій, пошук проблем, пропозиція рішень, побудова моделей); </w:t>
            </w:r>
          </w:p>
          <w:p w14:paraId="3988276E">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моделювання професійної діяльності (побудова економічних моделей, прогнозування, сценарне моделювання).</w:t>
            </w:r>
          </w:p>
          <w:p w14:paraId="44E5D826">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b/>
                <w:bCs/>
                <w:color w:val="000000"/>
              </w:rPr>
              <w:t>Методи оцінювання:</w:t>
            </w:r>
            <w:r>
              <w:rPr>
                <w:color w:val="000000"/>
              </w:rPr>
              <w:t xml:space="preserve"> усний контроль (усне опитування, оцінювання участі у дискусіях, інших інтерактивних методах навчання); письмовий контроль (контрольні, самостійні роботи, аналітичні завдання, реферати); </w:t>
            </w:r>
          </w:p>
          <w:p w14:paraId="12BC81A5">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тестовий контроль (тести закритої форми: тест-альтернатива, тест-відповідність, завдання на аналіз даних і моделей); метод самоконтролю та самооцінки; </w:t>
            </w:r>
          </w:p>
          <w:p w14:paraId="5164429D">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 xml:space="preserve">оцінювання кейс-завдань; </w:t>
            </w:r>
          </w:p>
          <w:p w14:paraId="537D43AD">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оцінювання проєктних та лабораторних робіт (моделювання економічних процесів, прогнозування).</w:t>
            </w:r>
          </w:p>
        </w:tc>
      </w:tr>
      <w:tr w14:paraId="16DFA124">
        <w:tblPrEx>
          <w:tblCellMar>
            <w:top w:w="55" w:type="dxa"/>
            <w:left w:w="55" w:type="dxa"/>
            <w:bottom w:w="55" w:type="dxa"/>
            <w:right w:w="55" w:type="dxa"/>
          </w:tblCellMar>
        </w:tblPrEx>
        <w:tc>
          <w:tcPr>
            <w:tcW w:w="1134" w:type="dxa"/>
            <w:tcBorders>
              <w:left w:val="single" w:color="000000" w:sz="4" w:space="0"/>
              <w:bottom w:val="single" w:color="000000" w:sz="4" w:space="0"/>
            </w:tcBorders>
          </w:tcPr>
          <w:p w14:paraId="0B312FA0">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Тема 1.</w:t>
            </w:r>
          </w:p>
        </w:tc>
        <w:tc>
          <w:tcPr>
            <w:tcW w:w="5670" w:type="dxa"/>
            <w:tcBorders>
              <w:left w:val="single" w:color="000000" w:sz="4" w:space="0"/>
              <w:bottom w:val="single" w:color="000000" w:sz="4" w:space="0"/>
            </w:tcBorders>
          </w:tcPr>
          <w:p w14:paraId="734317B3">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sz w:val="24"/>
                <w:szCs w:val="24"/>
              </w:rPr>
              <w:t>Ціна та її сутність, функції цін в економіці</w:t>
            </w:r>
          </w:p>
        </w:tc>
        <w:tc>
          <w:tcPr>
            <w:tcW w:w="3506" w:type="dxa"/>
            <w:vMerge w:val="continue"/>
            <w:tcBorders>
              <w:left w:val="single" w:color="000000" w:sz="4" w:space="0"/>
              <w:right w:val="single" w:color="000000" w:sz="4" w:space="0"/>
            </w:tcBorders>
          </w:tcPr>
          <w:p w14:paraId="12752711">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1922D360">
        <w:tblPrEx>
          <w:tblCellMar>
            <w:top w:w="55" w:type="dxa"/>
            <w:left w:w="55" w:type="dxa"/>
            <w:bottom w:w="55" w:type="dxa"/>
            <w:right w:w="55" w:type="dxa"/>
          </w:tblCellMar>
        </w:tblPrEx>
        <w:tc>
          <w:tcPr>
            <w:tcW w:w="1134" w:type="dxa"/>
            <w:tcBorders>
              <w:left w:val="single" w:color="000000" w:sz="4" w:space="0"/>
              <w:bottom w:val="single" w:color="000000" w:sz="4" w:space="0"/>
            </w:tcBorders>
          </w:tcPr>
          <w:p w14:paraId="3285A657">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Тема 2.</w:t>
            </w:r>
          </w:p>
        </w:tc>
        <w:tc>
          <w:tcPr>
            <w:tcW w:w="5670" w:type="dxa"/>
            <w:tcBorders>
              <w:left w:val="single" w:color="000000" w:sz="4" w:space="0"/>
              <w:bottom w:val="single" w:color="000000" w:sz="4" w:space="0"/>
            </w:tcBorders>
          </w:tcPr>
          <w:p w14:paraId="5997F998">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sz w:val="24"/>
                <w:szCs w:val="24"/>
              </w:rPr>
              <w:t>Принципи ринкового ціноутворення. Ціноутворення на ринках різних типів.</w:t>
            </w:r>
          </w:p>
        </w:tc>
        <w:tc>
          <w:tcPr>
            <w:tcW w:w="3506" w:type="dxa"/>
            <w:vMerge w:val="continue"/>
            <w:tcBorders>
              <w:left w:val="single" w:color="000000" w:sz="4" w:space="0"/>
              <w:right w:val="single" w:color="000000" w:sz="4" w:space="0"/>
            </w:tcBorders>
          </w:tcPr>
          <w:p w14:paraId="0CA1CA9B">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2DBDDFC8">
        <w:tblPrEx>
          <w:tblCellMar>
            <w:top w:w="55" w:type="dxa"/>
            <w:left w:w="55" w:type="dxa"/>
            <w:bottom w:w="55" w:type="dxa"/>
            <w:right w:w="55" w:type="dxa"/>
          </w:tblCellMar>
        </w:tblPrEx>
        <w:tc>
          <w:tcPr>
            <w:tcW w:w="1134" w:type="dxa"/>
            <w:tcBorders>
              <w:left w:val="single" w:color="000000" w:sz="4" w:space="0"/>
              <w:bottom w:val="single" w:color="000000" w:sz="4" w:space="0"/>
            </w:tcBorders>
          </w:tcPr>
          <w:p w14:paraId="3D3B23DD">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Тема 3.</w:t>
            </w:r>
          </w:p>
        </w:tc>
        <w:tc>
          <w:tcPr>
            <w:tcW w:w="5670" w:type="dxa"/>
            <w:tcBorders>
              <w:left w:val="single" w:color="000000" w:sz="4" w:space="0"/>
              <w:bottom w:val="single" w:color="000000" w:sz="4" w:space="0"/>
            </w:tcBorders>
          </w:tcPr>
          <w:p w14:paraId="6B07EE22">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sz w:val="24"/>
                <w:szCs w:val="24"/>
              </w:rPr>
              <w:t>Система цін</w:t>
            </w:r>
          </w:p>
        </w:tc>
        <w:tc>
          <w:tcPr>
            <w:tcW w:w="3506" w:type="dxa"/>
            <w:vMerge w:val="continue"/>
            <w:tcBorders>
              <w:left w:val="single" w:color="000000" w:sz="4" w:space="0"/>
              <w:right w:val="single" w:color="000000" w:sz="4" w:space="0"/>
            </w:tcBorders>
          </w:tcPr>
          <w:p w14:paraId="2034CCA1">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5CB5BE5E">
        <w:tblPrEx>
          <w:tblCellMar>
            <w:top w:w="55" w:type="dxa"/>
            <w:left w:w="55" w:type="dxa"/>
            <w:bottom w:w="55" w:type="dxa"/>
            <w:right w:w="55" w:type="dxa"/>
          </w:tblCellMar>
        </w:tblPrEx>
        <w:tc>
          <w:tcPr>
            <w:tcW w:w="1134" w:type="dxa"/>
            <w:tcBorders>
              <w:left w:val="single" w:color="000000" w:sz="4" w:space="0"/>
              <w:bottom w:val="single" w:color="000000" w:sz="4" w:space="0"/>
            </w:tcBorders>
          </w:tcPr>
          <w:p w14:paraId="4358FCFD">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Тема 4.</w:t>
            </w:r>
          </w:p>
        </w:tc>
        <w:tc>
          <w:tcPr>
            <w:tcW w:w="5670" w:type="dxa"/>
            <w:tcBorders>
              <w:left w:val="single" w:color="000000" w:sz="4" w:space="0"/>
              <w:bottom w:val="single" w:color="000000" w:sz="4" w:space="0"/>
            </w:tcBorders>
          </w:tcPr>
          <w:p w14:paraId="3A5662AB">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sz w:val="24"/>
                <w:szCs w:val="24"/>
              </w:rPr>
              <w:t xml:space="preserve">Витрати в структурі ціни виробництва </w:t>
            </w:r>
          </w:p>
        </w:tc>
        <w:tc>
          <w:tcPr>
            <w:tcW w:w="3506" w:type="dxa"/>
            <w:vMerge w:val="continue"/>
            <w:tcBorders>
              <w:left w:val="single" w:color="000000" w:sz="4" w:space="0"/>
              <w:right w:val="single" w:color="000000" w:sz="4" w:space="0"/>
            </w:tcBorders>
          </w:tcPr>
          <w:p w14:paraId="7F575DCE">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217BD143">
        <w:tblPrEx>
          <w:tblCellMar>
            <w:top w:w="55" w:type="dxa"/>
            <w:left w:w="55" w:type="dxa"/>
            <w:bottom w:w="55" w:type="dxa"/>
            <w:right w:w="55" w:type="dxa"/>
          </w:tblCellMar>
        </w:tblPrEx>
        <w:trPr>
          <w:trHeight w:val="303" w:hRule="atLeast"/>
        </w:trPr>
        <w:tc>
          <w:tcPr>
            <w:tcW w:w="1134" w:type="dxa"/>
            <w:tcBorders>
              <w:left w:val="single" w:color="000000" w:sz="4" w:space="0"/>
              <w:bottom w:val="single" w:color="000000" w:sz="4" w:space="0"/>
            </w:tcBorders>
          </w:tcPr>
          <w:p w14:paraId="10867874">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Тема 5.</w:t>
            </w:r>
          </w:p>
        </w:tc>
        <w:tc>
          <w:tcPr>
            <w:tcW w:w="5670" w:type="dxa"/>
            <w:tcBorders>
              <w:left w:val="single" w:color="000000" w:sz="4" w:space="0"/>
              <w:bottom w:val="single" w:color="000000" w:sz="4" w:space="0"/>
            </w:tcBorders>
          </w:tcPr>
          <w:p w14:paraId="345B31DF">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sz w:val="24"/>
                <w:szCs w:val="24"/>
              </w:rPr>
              <w:t>Прибуток у структурі ціни виробництва</w:t>
            </w:r>
          </w:p>
        </w:tc>
        <w:tc>
          <w:tcPr>
            <w:tcW w:w="3506" w:type="dxa"/>
            <w:vMerge w:val="continue"/>
            <w:tcBorders>
              <w:left w:val="single" w:color="000000" w:sz="4" w:space="0"/>
              <w:right w:val="single" w:color="000000" w:sz="4" w:space="0"/>
            </w:tcBorders>
          </w:tcPr>
          <w:p w14:paraId="5790A24A">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7ACFEC36">
        <w:tblPrEx>
          <w:tblCellMar>
            <w:top w:w="55" w:type="dxa"/>
            <w:left w:w="55" w:type="dxa"/>
            <w:bottom w:w="55" w:type="dxa"/>
            <w:right w:w="55" w:type="dxa"/>
          </w:tblCellMar>
        </w:tblPrEx>
        <w:trPr>
          <w:trHeight w:val="549" w:hRule="atLeast"/>
        </w:trPr>
        <w:tc>
          <w:tcPr>
            <w:tcW w:w="6804" w:type="dxa"/>
            <w:gridSpan w:val="2"/>
            <w:tcBorders>
              <w:left w:val="single" w:color="000000" w:sz="4" w:space="0"/>
              <w:bottom w:val="single" w:color="000000" w:sz="4" w:space="0"/>
            </w:tcBorders>
          </w:tcPr>
          <w:p w14:paraId="67C9713D">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b/>
                <w:bCs/>
                <w:color w:val="000000"/>
              </w:rPr>
              <w:t>ЗМІСТОВИЙ МОДУЛЬ 2.</w:t>
            </w:r>
            <w:r>
              <w:rPr>
                <w:b/>
                <w:bCs/>
                <w:color w:val="000000"/>
                <w:sz w:val="24"/>
                <w:szCs w:val="24"/>
              </w:rPr>
              <w:t xml:space="preserve"> </w:t>
            </w:r>
            <w:r>
              <w:rPr>
                <w:b/>
                <w:bCs/>
                <w:sz w:val="24"/>
                <w:szCs w:val="24"/>
              </w:rPr>
              <w:t>Механізм формування цін</w:t>
            </w:r>
          </w:p>
        </w:tc>
        <w:tc>
          <w:tcPr>
            <w:tcW w:w="3506" w:type="dxa"/>
            <w:vMerge w:val="continue"/>
            <w:tcBorders>
              <w:left w:val="single" w:color="000000" w:sz="4" w:space="0"/>
              <w:right w:val="single" w:color="000000" w:sz="4" w:space="0"/>
            </w:tcBorders>
          </w:tcPr>
          <w:p w14:paraId="464267FC">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27D817D6">
        <w:tblPrEx>
          <w:tblCellMar>
            <w:top w:w="55" w:type="dxa"/>
            <w:left w:w="55" w:type="dxa"/>
            <w:bottom w:w="55" w:type="dxa"/>
            <w:right w:w="55" w:type="dxa"/>
          </w:tblCellMar>
        </w:tblPrEx>
        <w:trPr>
          <w:trHeight w:val="372" w:hRule="atLeast"/>
        </w:trPr>
        <w:tc>
          <w:tcPr>
            <w:tcW w:w="1134" w:type="dxa"/>
            <w:tcBorders>
              <w:left w:val="single" w:color="000000" w:sz="4" w:space="0"/>
              <w:bottom w:val="single" w:color="000000" w:sz="4" w:space="0"/>
            </w:tcBorders>
          </w:tcPr>
          <w:p w14:paraId="2F08309C">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both"/>
              <w:rPr>
                <w:color w:val="000000"/>
              </w:rPr>
            </w:pPr>
            <w:r>
              <w:rPr>
                <w:color w:val="000000"/>
              </w:rPr>
              <w:t>Тема 6.</w:t>
            </w:r>
          </w:p>
        </w:tc>
        <w:tc>
          <w:tcPr>
            <w:tcW w:w="5670" w:type="dxa"/>
            <w:tcBorders>
              <w:left w:val="single" w:color="000000" w:sz="4" w:space="0"/>
              <w:bottom w:val="single" w:color="000000" w:sz="4" w:space="0"/>
            </w:tcBorders>
          </w:tcPr>
          <w:p w14:paraId="0B3152DB">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sz w:val="24"/>
                <w:szCs w:val="24"/>
              </w:rPr>
              <w:t>Структура ціни реалізації та її розрахунок</w:t>
            </w:r>
          </w:p>
        </w:tc>
        <w:tc>
          <w:tcPr>
            <w:tcW w:w="3506" w:type="dxa"/>
            <w:vMerge w:val="continue"/>
            <w:tcBorders>
              <w:left w:val="single" w:color="000000" w:sz="4" w:space="0"/>
              <w:right w:val="single" w:color="000000" w:sz="4" w:space="0"/>
            </w:tcBorders>
          </w:tcPr>
          <w:p w14:paraId="79809A09">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2861A1BD">
        <w:tblPrEx>
          <w:tblCellMar>
            <w:top w:w="55" w:type="dxa"/>
            <w:left w:w="55" w:type="dxa"/>
            <w:bottom w:w="55" w:type="dxa"/>
            <w:right w:w="55" w:type="dxa"/>
          </w:tblCellMar>
        </w:tblPrEx>
        <w:trPr>
          <w:trHeight w:val="204" w:hRule="atLeast"/>
        </w:trPr>
        <w:tc>
          <w:tcPr>
            <w:tcW w:w="1134" w:type="dxa"/>
            <w:tcBorders>
              <w:left w:val="single" w:color="000000" w:sz="4" w:space="0"/>
              <w:bottom w:val="single" w:color="000000" w:sz="4" w:space="0"/>
            </w:tcBorders>
          </w:tcPr>
          <w:p w14:paraId="49D8B20A">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rPr>
                <w:color w:val="000000"/>
              </w:rPr>
            </w:pPr>
            <w:r>
              <w:rPr>
                <w:color w:val="000000"/>
              </w:rPr>
              <w:t xml:space="preserve">Тема 7. </w:t>
            </w:r>
          </w:p>
        </w:tc>
        <w:tc>
          <w:tcPr>
            <w:tcW w:w="5670" w:type="dxa"/>
            <w:tcBorders>
              <w:left w:val="single" w:color="000000" w:sz="4" w:space="0"/>
              <w:bottom w:val="single" w:color="000000" w:sz="4" w:space="0"/>
            </w:tcBorders>
          </w:tcPr>
          <w:p w14:paraId="497E07CF">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sz w:val="24"/>
                <w:szCs w:val="24"/>
              </w:rPr>
              <w:t>Поточний контроль</w:t>
            </w:r>
          </w:p>
        </w:tc>
        <w:tc>
          <w:tcPr>
            <w:tcW w:w="3506" w:type="dxa"/>
            <w:vMerge w:val="continue"/>
            <w:tcBorders>
              <w:left w:val="single" w:color="000000" w:sz="4" w:space="0"/>
              <w:right w:val="single" w:color="000000" w:sz="4" w:space="0"/>
            </w:tcBorders>
          </w:tcPr>
          <w:p w14:paraId="47BB8C5C">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0E497FAD">
        <w:tblPrEx>
          <w:tblCellMar>
            <w:top w:w="55" w:type="dxa"/>
            <w:left w:w="55" w:type="dxa"/>
            <w:bottom w:w="55" w:type="dxa"/>
            <w:right w:w="55" w:type="dxa"/>
          </w:tblCellMar>
        </w:tblPrEx>
        <w:trPr>
          <w:trHeight w:val="204" w:hRule="atLeast"/>
        </w:trPr>
        <w:tc>
          <w:tcPr>
            <w:tcW w:w="1134" w:type="dxa"/>
            <w:tcBorders>
              <w:left w:val="single" w:color="000000" w:sz="4" w:space="0"/>
              <w:bottom w:val="single" w:color="000000" w:sz="4" w:space="0"/>
            </w:tcBorders>
          </w:tcPr>
          <w:p w14:paraId="3B5C8B40">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rPr>
                <w:color w:val="000000"/>
              </w:rPr>
            </w:pPr>
            <w:r>
              <w:rPr>
                <w:color w:val="000000"/>
              </w:rPr>
              <w:t>Тема 8.</w:t>
            </w:r>
          </w:p>
        </w:tc>
        <w:tc>
          <w:tcPr>
            <w:tcW w:w="5670" w:type="dxa"/>
            <w:tcBorders>
              <w:left w:val="single" w:color="000000" w:sz="4" w:space="0"/>
              <w:bottom w:val="single" w:color="000000" w:sz="4" w:space="0"/>
            </w:tcBorders>
          </w:tcPr>
          <w:p w14:paraId="4CA4EAC4">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sz w:val="24"/>
                <w:szCs w:val="24"/>
              </w:rPr>
              <w:t>Державне регулювання цін у ринковій економіці</w:t>
            </w:r>
          </w:p>
        </w:tc>
        <w:tc>
          <w:tcPr>
            <w:tcW w:w="3506" w:type="dxa"/>
            <w:vMerge w:val="continue"/>
            <w:tcBorders>
              <w:left w:val="single" w:color="000000" w:sz="4" w:space="0"/>
              <w:right w:val="single" w:color="000000" w:sz="4" w:space="0"/>
            </w:tcBorders>
          </w:tcPr>
          <w:p w14:paraId="14746694">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6E2E9381">
        <w:tblPrEx>
          <w:tblCellMar>
            <w:top w:w="55" w:type="dxa"/>
            <w:left w:w="55" w:type="dxa"/>
            <w:bottom w:w="55" w:type="dxa"/>
            <w:right w:w="55" w:type="dxa"/>
          </w:tblCellMar>
        </w:tblPrEx>
        <w:trPr>
          <w:trHeight w:val="204" w:hRule="atLeast"/>
        </w:trPr>
        <w:tc>
          <w:tcPr>
            <w:tcW w:w="1134" w:type="dxa"/>
            <w:tcBorders>
              <w:left w:val="single" w:color="000000" w:sz="4" w:space="0"/>
              <w:bottom w:val="single" w:color="000000" w:sz="4" w:space="0"/>
            </w:tcBorders>
          </w:tcPr>
          <w:p w14:paraId="14829DBD">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rPr>
                <w:color w:val="000000"/>
              </w:rPr>
            </w:pPr>
            <w:r>
              <w:rPr>
                <w:color w:val="000000"/>
              </w:rPr>
              <w:t>Тема 9.</w:t>
            </w:r>
          </w:p>
        </w:tc>
        <w:tc>
          <w:tcPr>
            <w:tcW w:w="5670" w:type="dxa"/>
            <w:tcBorders>
              <w:left w:val="single" w:color="000000" w:sz="4" w:space="0"/>
              <w:bottom w:val="single" w:color="000000" w:sz="4" w:space="0"/>
            </w:tcBorders>
          </w:tcPr>
          <w:p w14:paraId="07BCF18F">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sz w:val="24"/>
                <w:szCs w:val="24"/>
              </w:rPr>
            </w:pPr>
            <w:r>
              <w:rPr>
                <w:sz w:val="24"/>
                <w:szCs w:val="24"/>
              </w:rPr>
              <w:t>Цінова політика підприємства</w:t>
            </w:r>
          </w:p>
        </w:tc>
        <w:tc>
          <w:tcPr>
            <w:tcW w:w="3506" w:type="dxa"/>
            <w:vMerge w:val="continue"/>
            <w:tcBorders>
              <w:left w:val="single" w:color="000000" w:sz="4" w:space="0"/>
              <w:right w:val="single" w:color="000000" w:sz="4" w:space="0"/>
            </w:tcBorders>
          </w:tcPr>
          <w:p w14:paraId="3398654F">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3FAA639D">
        <w:tblPrEx>
          <w:tblCellMar>
            <w:top w:w="55" w:type="dxa"/>
            <w:left w:w="55" w:type="dxa"/>
            <w:bottom w:w="55" w:type="dxa"/>
            <w:right w:w="55" w:type="dxa"/>
          </w:tblCellMar>
        </w:tblPrEx>
        <w:trPr>
          <w:trHeight w:val="204" w:hRule="atLeast"/>
        </w:trPr>
        <w:tc>
          <w:tcPr>
            <w:tcW w:w="1134" w:type="dxa"/>
            <w:tcBorders>
              <w:left w:val="single" w:color="000000" w:sz="4" w:space="0"/>
              <w:bottom w:val="single" w:color="000000" w:sz="4" w:space="0"/>
            </w:tcBorders>
          </w:tcPr>
          <w:p w14:paraId="609ABD18">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rPr>
                <w:color w:val="000000"/>
              </w:rPr>
            </w:pPr>
            <w:r>
              <w:rPr>
                <w:color w:val="000000"/>
              </w:rPr>
              <w:t>Тема 10.</w:t>
            </w:r>
          </w:p>
        </w:tc>
        <w:tc>
          <w:tcPr>
            <w:tcW w:w="5670" w:type="dxa"/>
            <w:tcBorders>
              <w:left w:val="single" w:color="000000" w:sz="4" w:space="0"/>
              <w:bottom w:val="single" w:color="000000" w:sz="4" w:space="0"/>
            </w:tcBorders>
          </w:tcPr>
          <w:p w14:paraId="632A3BDD">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hanging="2"/>
              <w:jc w:val="center"/>
              <w:rPr>
                <w:color w:val="000000"/>
                <w:sz w:val="24"/>
                <w:szCs w:val="24"/>
              </w:rPr>
            </w:pPr>
            <w:r>
              <w:rPr>
                <w:sz w:val="24"/>
                <w:szCs w:val="24"/>
              </w:rPr>
              <w:t>Методи встановлення цін</w:t>
            </w:r>
          </w:p>
        </w:tc>
        <w:tc>
          <w:tcPr>
            <w:tcW w:w="3506" w:type="dxa"/>
            <w:vMerge w:val="continue"/>
            <w:tcBorders>
              <w:left w:val="single" w:color="000000" w:sz="4" w:space="0"/>
              <w:right w:val="single" w:color="000000" w:sz="4" w:space="0"/>
            </w:tcBorders>
          </w:tcPr>
          <w:p w14:paraId="7AD61003">
            <w:pPr>
              <w:widowControl w:val="0"/>
              <w:pBdr>
                <w:top w:val="none" w:color="auto" w:sz="0" w:space="0"/>
                <w:left w:val="none" w:color="auto" w:sz="0" w:space="0"/>
                <w:bottom w:val="none" w:color="auto" w:sz="0" w:space="0"/>
                <w:right w:val="none" w:color="auto" w:sz="0" w:space="0"/>
                <w:between w:val="none" w:color="auto" w:sz="0" w:space="0"/>
              </w:pBdr>
              <w:suppressAutoHyphens/>
              <w:spacing w:line="276" w:lineRule="auto"/>
              <w:ind w:left="0" w:hanging="2"/>
              <w:rPr>
                <w:color w:val="000000"/>
              </w:rPr>
            </w:pPr>
          </w:p>
        </w:tc>
      </w:tr>
      <w:tr w14:paraId="251D18A2">
        <w:tblPrEx>
          <w:tblCellMar>
            <w:top w:w="55" w:type="dxa"/>
            <w:left w:w="55" w:type="dxa"/>
            <w:bottom w:w="55" w:type="dxa"/>
            <w:right w:w="55" w:type="dxa"/>
          </w:tblCellMar>
        </w:tblPrEx>
        <w:trPr>
          <w:trHeight w:val="204" w:hRule="atLeast"/>
        </w:trPr>
        <w:tc>
          <w:tcPr>
            <w:tcW w:w="10310" w:type="dxa"/>
            <w:gridSpan w:val="3"/>
            <w:tcBorders>
              <w:top w:val="single" w:color="auto" w:sz="4" w:space="0"/>
              <w:left w:val="single" w:color="000000" w:sz="4" w:space="0"/>
              <w:bottom w:val="single" w:color="000000" w:sz="4" w:space="0"/>
              <w:right w:val="single" w:color="000000" w:sz="4" w:space="0"/>
            </w:tcBorders>
          </w:tcPr>
          <w:p w14:paraId="7AAA231C">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rPr>
            </w:pPr>
            <w:r>
              <w:rPr>
                <w:color w:val="000000"/>
              </w:rPr>
              <w:t>Модульна контрольна робота</w:t>
            </w:r>
          </w:p>
        </w:tc>
      </w:tr>
      <w:tr w14:paraId="484A78F9">
        <w:tblPrEx>
          <w:tblCellMar>
            <w:top w:w="55" w:type="dxa"/>
            <w:left w:w="55" w:type="dxa"/>
            <w:bottom w:w="55" w:type="dxa"/>
            <w:right w:w="55" w:type="dxa"/>
          </w:tblCellMar>
        </w:tblPrEx>
        <w:trPr>
          <w:trHeight w:val="204" w:hRule="atLeast"/>
        </w:trPr>
        <w:tc>
          <w:tcPr>
            <w:tcW w:w="10310" w:type="dxa"/>
            <w:gridSpan w:val="3"/>
            <w:tcBorders>
              <w:left w:val="single" w:color="000000" w:sz="4" w:space="0"/>
              <w:bottom w:val="single" w:color="000000" w:sz="4" w:space="0"/>
              <w:right w:val="single" w:color="000000" w:sz="4" w:space="0"/>
            </w:tcBorders>
          </w:tcPr>
          <w:p w14:paraId="2317C46A">
            <w:pPr>
              <w:pBdr>
                <w:top w:val="none" w:color="auto" w:sz="0" w:space="0"/>
                <w:left w:val="none" w:color="auto" w:sz="0" w:space="0"/>
                <w:bottom w:val="none" w:color="auto" w:sz="0" w:space="0"/>
                <w:right w:val="none" w:color="auto" w:sz="0" w:space="0"/>
                <w:between w:val="none" w:color="auto" w:sz="0" w:space="0"/>
              </w:pBdr>
              <w:suppressAutoHyphens/>
              <w:spacing w:line="240" w:lineRule="auto"/>
              <w:ind w:left="0" w:right="57" w:hanging="2"/>
              <w:jc w:val="center"/>
              <w:rPr>
                <w:color w:val="000000"/>
              </w:rPr>
            </w:pPr>
            <w:r>
              <w:rPr>
                <w:b/>
                <w:bCs/>
                <w:color w:val="000000"/>
              </w:rPr>
              <w:t>Форма контролю: залік</w:t>
            </w:r>
          </w:p>
        </w:tc>
      </w:tr>
    </w:tbl>
    <w:p w14:paraId="0C54366F">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p>
    <w:p w14:paraId="320AEF75">
      <w:pPr>
        <w:ind w:left="0" w:hanging="2"/>
        <w:jc w:val="both"/>
        <w:rPr>
          <w:b/>
          <w:bCs/>
          <w:sz w:val="24"/>
          <w:szCs w:val="24"/>
          <w:lang w:val="uk-UA"/>
        </w:rPr>
      </w:pPr>
    </w:p>
    <w:p w14:paraId="374E483E">
      <w:pPr>
        <w:ind w:left="0" w:hanging="2"/>
        <w:jc w:val="both"/>
        <w:rPr>
          <w:bCs/>
          <w:sz w:val="24"/>
          <w:szCs w:val="24"/>
          <w:lang w:val="uk-UA"/>
        </w:rPr>
      </w:pPr>
      <w:r>
        <w:rPr>
          <w:b/>
          <w:bCs/>
          <w:sz w:val="24"/>
          <w:szCs w:val="24"/>
          <w:lang w:val="uk-UA"/>
        </w:rPr>
        <w:t>Технічне обладнання та програмне забезпечення</w:t>
      </w:r>
      <w:r>
        <w:rPr>
          <w:bCs/>
          <w:sz w:val="24"/>
          <w:szCs w:val="24"/>
          <w:lang w:val="uk-UA"/>
        </w:rPr>
        <w:t>. В освітньому процесі з дисципліни «Ціноутворення» використовуються навчальні аудиторії, бібліотека, мультимедійний проектор та комп’ютер для проведення лекційних та семінарських занять із застосуванням презентаційних матеріалів. Вивчення окремих тем та виконання практичних завдань потребує доступу до інформації у всесвітній мережі Інтернет, який забезпечується безкоштовною мережею Wi-Fi. Для моделювання цінових процесів та аналізу ринкових даних використовуються спеціалізовані програмні продукти та таблиці електронних обчислень.</w:t>
      </w:r>
    </w:p>
    <w:p w14:paraId="27485EB1">
      <w:pPr>
        <w:ind w:left="0" w:hanging="2"/>
        <w:jc w:val="both"/>
        <w:rPr>
          <w:bCs/>
          <w:sz w:val="24"/>
          <w:szCs w:val="24"/>
          <w:lang w:val="uk-UA"/>
        </w:rPr>
      </w:pPr>
      <w:r>
        <w:rPr>
          <w:b/>
          <w:bCs/>
          <w:sz w:val="24"/>
          <w:szCs w:val="24"/>
          <w:lang w:val="uk-UA"/>
        </w:rPr>
        <w:t>Форми та методи контролю.</w:t>
      </w:r>
      <w:r>
        <w:rPr>
          <w:bCs/>
          <w:sz w:val="24"/>
          <w:szCs w:val="24"/>
          <w:lang w:val="uk-UA"/>
        </w:rPr>
        <w:t xml:space="preserve"> Контроль успішності здобувачів освіти поділяється на поточний та підсумковий (семестровий).</w:t>
      </w:r>
    </w:p>
    <w:p w14:paraId="14407033">
      <w:pPr>
        <w:ind w:left="0" w:hanging="2"/>
        <w:jc w:val="both"/>
        <w:rPr>
          <w:bCs/>
          <w:sz w:val="24"/>
          <w:szCs w:val="24"/>
          <w:lang w:val="uk-UA"/>
        </w:rPr>
      </w:pPr>
      <w:r>
        <w:rPr>
          <w:bCs/>
          <w:sz w:val="24"/>
          <w:szCs w:val="24"/>
          <w:lang w:val="uk-UA"/>
        </w:rPr>
        <w:t>Поточний контроль здійснюється під час практичних та семінарських занять і має на меті систематичну перевірку:</w:t>
      </w:r>
    </w:p>
    <w:p w14:paraId="4409B014">
      <w:pPr>
        <w:numPr>
          <w:ilvl w:val="0"/>
          <w:numId w:val="3"/>
        </w:numPr>
        <w:ind w:left="0" w:hanging="2"/>
        <w:jc w:val="both"/>
        <w:rPr>
          <w:bCs/>
          <w:sz w:val="24"/>
          <w:szCs w:val="24"/>
          <w:lang w:val="uk-UA"/>
        </w:rPr>
      </w:pPr>
      <w:r>
        <w:rPr>
          <w:bCs/>
          <w:sz w:val="24"/>
          <w:szCs w:val="24"/>
          <w:lang w:val="uk-UA"/>
        </w:rPr>
        <w:t>розуміння теоретичних основ ціноутворення та економічних факторів формування цін;</w:t>
      </w:r>
    </w:p>
    <w:p w14:paraId="5770D703">
      <w:pPr>
        <w:numPr>
          <w:ilvl w:val="0"/>
          <w:numId w:val="3"/>
        </w:numPr>
        <w:ind w:left="0" w:hanging="2"/>
        <w:jc w:val="both"/>
        <w:rPr>
          <w:bCs/>
          <w:sz w:val="24"/>
          <w:szCs w:val="24"/>
          <w:lang w:val="uk-UA"/>
        </w:rPr>
      </w:pPr>
      <w:r>
        <w:rPr>
          <w:bCs/>
          <w:sz w:val="24"/>
          <w:szCs w:val="24"/>
          <w:lang w:val="uk-UA"/>
        </w:rPr>
        <w:t>уміння застосовувати знання для розрахунку цін, побудови моделей та аналізу ринкових даних;</w:t>
      </w:r>
    </w:p>
    <w:p w14:paraId="3EBC7F8B">
      <w:pPr>
        <w:numPr>
          <w:ilvl w:val="0"/>
          <w:numId w:val="3"/>
        </w:numPr>
        <w:ind w:left="0" w:hanging="2"/>
        <w:jc w:val="both"/>
        <w:rPr>
          <w:bCs/>
          <w:sz w:val="24"/>
          <w:szCs w:val="24"/>
          <w:lang w:val="uk-UA"/>
        </w:rPr>
      </w:pPr>
      <w:r>
        <w:rPr>
          <w:bCs/>
          <w:sz w:val="24"/>
          <w:szCs w:val="24"/>
          <w:lang w:val="uk-UA"/>
        </w:rPr>
        <w:t>навичок прогнозування цінових тенденцій та оцінки впливу факторів попиту, пропозиції та конкуренції;</w:t>
      </w:r>
    </w:p>
    <w:p w14:paraId="24FBED81">
      <w:pPr>
        <w:numPr>
          <w:ilvl w:val="0"/>
          <w:numId w:val="3"/>
        </w:numPr>
        <w:ind w:left="0" w:hanging="2"/>
        <w:jc w:val="both"/>
        <w:rPr>
          <w:bCs/>
          <w:sz w:val="24"/>
          <w:szCs w:val="24"/>
          <w:lang w:val="uk-UA"/>
        </w:rPr>
      </w:pPr>
      <w:r>
        <w:rPr>
          <w:bCs/>
          <w:sz w:val="24"/>
          <w:szCs w:val="24"/>
          <w:lang w:val="uk-UA"/>
        </w:rPr>
        <w:t>використання спеціалізованого програмного забезпечення для моделювання цін та обробки статистичних даних.</w:t>
      </w:r>
    </w:p>
    <w:p w14:paraId="2A3BA0D1">
      <w:pPr>
        <w:ind w:left="0" w:hanging="2"/>
        <w:jc w:val="both"/>
        <w:rPr>
          <w:bCs/>
          <w:sz w:val="24"/>
          <w:szCs w:val="24"/>
          <w:lang w:val="uk-UA"/>
        </w:rPr>
      </w:pPr>
      <w:r>
        <w:rPr>
          <w:b/>
          <w:bCs/>
          <w:sz w:val="24"/>
          <w:szCs w:val="24"/>
          <w:lang w:val="uk-UA"/>
        </w:rPr>
        <w:t>Форми участі студентів у навчальному процесі, що підлягають поточному контролю</w:t>
      </w:r>
      <w:r>
        <w:rPr>
          <w:bCs/>
          <w:sz w:val="24"/>
          <w:szCs w:val="24"/>
          <w:lang w:val="uk-UA"/>
        </w:rPr>
        <w:t>:</w:t>
      </w:r>
    </w:p>
    <w:p w14:paraId="2A1D06B3">
      <w:pPr>
        <w:numPr>
          <w:ilvl w:val="0"/>
          <w:numId w:val="4"/>
        </w:numPr>
        <w:ind w:left="0" w:hanging="2"/>
        <w:jc w:val="both"/>
        <w:rPr>
          <w:bCs/>
          <w:sz w:val="24"/>
          <w:szCs w:val="24"/>
          <w:lang w:val="uk-UA"/>
        </w:rPr>
      </w:pPr>
      <w:r>
        <w:rPr>
          <w:bCs/>
          <w:sz w:val="24"/>
          <w:szCs w:val="24"/>
          <w:lang w:val="uk-UA"/>
        </w:rPr>
        <w:t>виступи та презентації з аналізу ринкових та цінових процесів;</w:t>
      </w:r>
    </w:p>
    <w:p w14:paraId="71F89CB5">
      <w:pPr>
        <w:numPr>
          <w:ilvl w:val="0"/>
          <w:numId w:val="4"/>
        </w:numPr>
        <w:ind w:left="0" w:hanging="2"/>
        <w:jc w:val="both"/>
        <w:rPr>
          <w:bCs/>
          <w:sz w:val="24"/>
          <w:szCs w:val="24"/>
          <w:lang w:val="uk-UA"/>
        </w:rPr>
      </w:pPr>
      <w:r>
        <w:rPr>
          <w:bCs/>
          <w:sz w:val="24"/>
          <w:szCs w:val="24"/>
          <w:lang w:val="uk-UA"/>
        </w:rPr>
        <w:t>усні доповіді з розбору практичних кейсів з ціноутворення;</w:t>
      </w:r>
    </w:p>
    <w:p w14:paraId="33AECBB7">
      <w:pPr>
        <w:numPr>
          <w:ilvl w:val="0"/>
          <w:numId w:val="4"/>
        </w:numPr>
        <w:ind w:left="0" w:hanging="2"/>
        <w:jc w:val="both"/>
        <w:rPr>
          <w:bCs/>
          <w:sz w:val="24"/>
          <w:szCs w:val="24"/>
          <w:lang w:val="uk-UA"/>
        </w:rPr>
      </w:pPr>
      <w:r>
        <w:rPr>
          <w:bCs/>
          <w:sz w:val="24"/>
          <w:szCs w:val="24"/>
          <w:lang w:val="uk-UA"/>
        </w:rPr>
        <w:t>активна участь у обговореннях, запитаннях і відповідях;</w:t>
      </w:r>
    </w:p>
    <w:p w14:paraId="7DA76A00">
      <w:pPr>
        <w:numPr>
          <w:ilvl w:val="0"/>
          <w:numId w:val="4"/>
        </w:numPr>
        <w:ind w:left="0" w:hanging="2"/>
        <w:jc w:val="both"/>
        <w:rPr>
          <w:bCs/>
          <w:sz w:val="24"/>
          <w:szCs w:val="24"/>
          <w:lang w:val="uk-UA"/>
        </w:rPr>
      </w:pPr>
      <w:r>
        <w:rPr>
          <w:bCs/>
          <w:sz w:val="24"/>
          <w:szCs w:val="24"/>
          <w:lang w:val="uk-UA"/>
        </w:rPr>
        <w:t>систематичність роботи на семінарських заняттях та активна участь у дискусіях;</w:t>
      </w:r>
    </w:p>
    <w:p w14:paraId="6A4ADC9A">
      <w:pPr>
        <w:numPr>
          <w:ilvl w:val="0"/>
          <w:numId w:val="4"/>
        </w:numPr>
        <w:ind w:left="0" w:hanging="2"/>
        <w:jc w:val="both"/>
        <w:rPr>
          <w:bCs/>
          <w:sz w:val="24"/>
          <w:szCs w:val="24"/>
          <w:lang w:val="uk-UA"/>
        </w:rPr>
      </w:pPr>
      <w:r>
        <w:rPr>
          <w:bCs/>
          <w:sz w:val="24"/>
          <w:szCs w:val="24"/>
          <w:lang w:val="uk-UA"/>
        </w:rPr>
        <w:t>робота в інтерактивних формах (мозковий штурм, рольові ігри, симуляції);</w:t>
      </w:r>
    </w:p>
    <w:p w14:paraId="312F79D2">
      <w:pPr>
        <w:numPr>
          <w:ilvl w:val="0"/>
          <w:numId w:val="4"/>
        </w:numPr>
        <w:ind w:left="0" w:hanging="2"/>
        <w:jc w:val="both"/>
        <w:rPr>
          <w:bCs/>
          <w:sz w:val="24"/>
          <w:szCs w:val="24"/>
          <w:lang w:val="uk-UA"/>
        </w:rPr>
      </w:pPr>
      <w:r>
        <w:rPr>
          <w:bCs/>
          <w:sz w:val="24"/>
          <w:szCs w:val="24"/>
          <w:lang w:val="uk-UA"/>
        </w:rPr>
        <w:t>аналіз статистичних даних, графіків, ринкових моделей та цінових сценаріїв;</w:t>
      </w:r>
    </w:p>
    <w:p w14:paraId="38AAE3F7">
      <w:pPr>
        <w:numPr>
          <w:ilvl w:val="0"/>
          <w:numId w:val="4"/>
        </w:numPr>
        <w:ind w:left="0" w:hanging="2"/>
        <w:jc w:val="both"/>
        <w:rPr>
          <w:bCs/>
          <w:sz w:val="24"/>
          <w:szCs w:val="24"/>
          <w:lang w:val="uk-UA"/>
        </w:rPr>
      </w:pPr>
      <w:r>
        <w:rPr>
          <w:bCs/>
          <w:sz w:val="24"/>
          <w:szCs w:val="24"/>
          <w:lang w:val="uk-UA"/>
        </w:rPr>
        <w:t>письмові завдання (контрольні роботи, тестові завдання, аналітичні записки, реферати);</w:t>
      </w:r>
    </w:p>
    <w:p w14:paraId="417B30D0">
      <w:pPr>
        <w:numPr>
          <w:ilvl w:val="0"/>
          <w:numId w:val="4"/>
        </w:numPr>
        <w:ind w:left="0" w:hanging="2"/>
        <w:jc w:val="both"/>
        <w:rPr>
          <w:bCs/>
          <w:sz w:val="24"/>
          <w:szCs w:val="24"/>
          <w:lang w:val="uk-UA"/>
        </w:rPr>
      </w:pPr>
      <w:r>
        <w:rPr>
          <w:bCs/>
          <w:sz w:val="24"/>
          <w:szCs w:val="24"/>
          <w:lang w:val="uk-UA"/>
        </w:rPr>
        <w:t>підготовка конспектів, тез, аналітичних нотаток;</w:t>
      </w:r>
    </w:p>
    <w:p w14:paraId="2611E3F5">
      <w:pPr>
        <w:numPr>
          <w:ilvl w:val="0"/>
          <w:numId w:val="4"/>
        </w:numPr>
        <w:ind w:left="0" w:hanging="2"/>
        <w:jc w:val="both"/>
        <w:rPr>
          <w:bCs/>
          <w:sz w:val="24"/>
          <w:szCs w:val="24"/>
          <w:lang w:val="uk-UA"/>
        </w:rPr>
      </w:pPr>
      <w:r>
        <w:rPr>
          <w:bCs/>
          <w:sz w:val="24"/>
          <w:szCs w:val="24"/>
          <w:lang w:val="uk-UA"/>
        </w:rPr>
        <w:t>самостійне опрацювання тем дисципліни та лекційних матеріалів.</w:t>
      </w:r>
    </w:p>
    <w:p w14:paraId="67E34762">
      <w:pPr>
        <w:ind w:left="0" w:hanging="2"/>
        <w:jc w:val="both"/>
        <w:rPr>
          <w:bCs/>
          <w:sz w:val="24"/>
          <w:szCs w:val="24"/>
          <w:lang w:val="uk-UA"/>
        </w:rPr>
      </w:pPr>
      <w:r>
        <w:rPr>
          <w:b/>
          <w:bCs/>
          <w:sz w:val="24"/>
          <w:szCs w:val="24"/>
          <w:lang w:val="uk-UA"/>
        </w:rPr>
        <w:t>Методи поточного контролю</w:t>
      </w:r>
      <w:r>
        <w:rPr>
          <w:bCs/>
          <w:sz w:val="24"/>
          <w:szCs w:val="24"/>
          <w:lang w:val="uk-UA"/>
        </w:rPr>
        <w:t>:</w:t>
      </w:r>
    </w:p>
    <w:p w14:paraId="5106FDC3">
      <w:pPr>
        <w:numPr>
          <w:ilvl w:val="0"/>
          <w:numId w:val="5"/>
        </w:numPr>
        <w:ind w:left="0" w:hanging="2"/>
        <w:jc w:val="both"/>
        <w:rPr>
          <w:bCs/>
          <w:sz w:val="24"/>
          <w:szCs w:val="24"/>
          <w:lang w:val="uk-UA"/>
        </w:rPr>
      </w:pPr>
      <w:r>
        <w:rPr>
          <w:bCs/>
          <w:sz w:val="24"/>
          <w:szCs w:val="24"/>
          <w:lang w:val="uk-UA"/>
        </w:rPr>
        <w:t>усний контроль (опитування, бесіда, доповідь, повідомлення);</w:t>
      </w:r>
    </w:p>
    <w:p w14:paraId="126E231A">
      <w:pPr>
        <w:numPr>
          <w:ilvl w:val="0"/>
          <w:numId w:val="5"/>
        </w:numPr>
        <w:ind w:left="0" w:hanging="2"/>
        <w:jc w:val="both"/>
        <w:rPr>
          <w:bCs/>
          <w:sz w:val="24"/>
          <w:szCs w:val="24"/>
          <w:lang w:val="uk-UA"/>
        </w:rPr>
      </w:pPr>
      <w:r>
        <w:rPr>
          <w:bCs/>
          <w:sz w:val="24"/>
          <w:szCs w:val="24"/>
          <w:lang w:val="uk-UA"/>
        </w:rPr>
        <w:t>письмовий контроль (контрольна робота, аналітичний звіт, реферат, виконання завдань на розрахунок цін та моделювання ринкових процесів);</w:t>
      </w:r>
    </w:p>
    <w:p w14:paraId="7D3A620A">
      <w:pPr>
        <w:numPr>
          <w:ilvl w:val="0"/>
          <w:numId w:val="5"/>
        </w:numPr>
        <w:ind w:left="0" w:hanging="2"/>
        <w:jc w:val="both"/>
        <w:rPr>
          <w:bCs/>
          <w:sz w:val="24"/>
          <w:szCs w:val="24"/>
          <w:lang w:val="uk-UA"/>
        </w:rPr>
      </w:pPr>
      <w:r>
        <w:rPr>
          <w:bCs/>
          <w:sz w:val="24"/>
          <w:szCs w:val="24"/>
          <w:lang w:val="uk-UA"/>
        </w:rPr>
        <w:t>комбінований контроль (усне та письмове поєднання для оцінки знань і практичних навичок);</w:t>
      </w:r>
    </w:p>
    <w:p w14:paraId="4719B761">
      <w:pPr>
        <w:numPr>
          <w:ilvl w:val="0"/>
          <w:numId w:val="5"/>
        </w:numPr>
        <w:ind w:left="0" w:hanging="2"/>
        <w:jc w:val="both"/>
        <w:rPr>
          <w:bCs/>
          <w:sz w:val="24"/>
          <w:szCs w:val="24"/>
          <w:lang w:val="uk-UA"/>
        </w:rPr>
      </w:pPr>
      <w:r>
        <w:rPr>
          <w:bCs/>
          <w:sz w:val="24"/>
          <w:szCs w:val="24"/>
          <w:lang w:val="uk-UA"/>
        </w:rPr>
        <w:t>презентація самостійної роботи або кейс-аналізу;</w:t>
      </w:r>
    </w:p>
    <w:p w14:paraId="5E173745">
      <w:pPr>
        <w:numPr>
          <w:ilvl w:val="0"/>
          <w:numId w:val="5"/>
        </w:numPr>
        <w:ind w:left="0" w:hanging="2"/>
        <w:jc w:val="both"/>
        <w:rPr>
          <w:bCs/>
          <w:sz w:val="24"/>
          <w:szCs w:val="24"/>
          <w:lang w:val="uk-UA"/>
        </w:rPr>
      </w:pPr>
      <w:r>
        <w:rPr>
          <w:bCs/>
          <w:sz w:val="24"/>
          <w:szCs w:val="24"/>
          <w:lang w:val="uk-UA"/>
        </w:rPr>
        <w:t>спостереження за активністю та участю у практичних заняттях;</w:t>
      </w:r>
    </w:p>
    <w:p w14:paraId="4C4C1DB8">
      <w:pPr>
        <w:numPr>
          <w:ilvl w:val="0"/>
          <w:numId w:val="5"/>
        </w:numPr>
        <w:ind w:left="0" w:hanging="2"/>
        <w:jc w:val="both"/>
        <w:rPr>
          <w:bCs/>
          <w:sz w:val="24"/>
          <w:szCs w:val="24"/>
          <w:lang w:val="uk-UA"/>
        </w:rPr>
      </w:pPr>
      <w:r>
        <w:rPr>
          <w:bCs/>
          <w:sz w:val="24"/>
          <w:szCs w:val="24"/>
          <w:lang w:val="uk-UA"/>
        </w:rPr>
        <w:t>тестовий контроль (закриті та відкриті завдання, аналіз графіків, цінових моделей і сценаріїв);</w:t>
      </w:r>
    </w:p>
    <w:p w14:paraId="1A324B5C">
      <w:pPr>
        <w:numPr>
          <w:ilvl w:val="0"/>
          <w:numId w:val="5"/>
        </w:numPr>
        <w:ind w:left="0" w:hanging="2"/>
        <w:jc w:val="both"/>
        <w:rPr>
          <w:bCs/>
          <w:sz w:val="24"/>
          <w:szCs w:val="24"/>
          <w:lang w:val="uk-UA"/>
        </w:rPr>
      </w:pPr>
      <w:r>
        <w:rPr>
          <w:bCs/>
          <w:sz w:val="24"/>
          <w:szCs w:val="24"/>
          <w:lang w:val="uk-UA"/>
        </w:rPr>
        <w:t>робота з проблемними ситуаціями (аналітичні кейси, сценарне моделювання ринкових і цінових процесів).</w:t>
      </w:r>
    </w:p>
    <w:p w14:paraId="4B2CC723">
      <w:pPr>
        <w:ind w:left="0" w:leftChars="0" w:firstLine="0" w:firstLineChars="0"/>
        <w:jc w:val="both"/>
        <w:rPr>
          <w:bCs/>
          <w:sz w:val="24"/>
          <w:szCs w:val="24"/>
          <w:lang w:val="uk-UA"/>
        </w:rPr>
      </w:pPr>
    </w:p>
    <w:p w14:paraId="35CC84B0">
      <w:pPr>
        <w:ind w:left="0" w:leftChars="0" w:firstLine="0" w:firstLineChars="0"/>
        <w:jc w:val="both"/>
        <w:rPr>
          <w:bCs/>
          <w:sz w:val="24"/>
          <w:szCs w:val="24"/>
          <w:lang w:val="uk-UA"/>
        </w:rPr>
      </w:pPr>
    </w:p>
    <w:p w14:paraId="7FB0A0C7">
      <w:pPr>
        <w:ind w:left="0" w:leftChars="0" w:firstLine="0" w:firstLineChars="0"/>
        <w:jc w:val="both"/>
        <w:rPr>
          <w:bCs/>
          <w:sz w:val="24"/>
          <w:szCs w:val="24"/>
          <w:lang w:val="uk-UA"/>
        </w:rPr>
      </w:pPr>
    </w:p>
    <w:p w14:paraId="1DF81070">
      <w:pPr>
        <w:ind w:left="0" w:leftChars="0" w:firstLine="0" w:firstLineChars="0"/>
        <w:jc w:val="both"/>
        <w:rPr>
          <w:bCs/>
          <w:sz w:val="24"/>
          <w:szCs w:val="24"/>
          <w:lang w:val="uk-UA"/>
        </w:rPr>
      </w:pPr>
    </w:p>
    <w:p w14:paraId="67A63153">
      <w:pPr>
        <w:ind w:left="0" w:leftChars="0" w:firstLine="0" w:firstLineChars="0"/>
        <w:jc w:val="both"/>
        <w:rPr>
          <w:bCs/>
          <w:sz w:val="24"/>
          <w:szCs w:val="24"/>
          <w:lang w:val="uk-UA"/>
        </w:rPr>
      </w:pPr>
    </w:p>
    <w:p w14:paraId="58FDE223">
      <w:pPr>
        <w:ind w:left="0" w:leftChars="0" w:firstLine="0" w:firstLineChars="0"/>
        <w:jc w:val="both"/>
        <w:rPr>
          <w:bCs/>
          <w:sz w:val="24"/>
          <w:szCs w:val="24"/>
          <w:lang w:val="uk-UA"/>
        </w:rPr>
      </w:pPr>
    </w:p>
    <w:p w14:paraId="7E5D2996">
      <w:pPr>
        <w:ind w:left="0" w:leftChars="0" w:firstLine="0" w:firstLineChars="0"/>
        <w:jc w:val="both"/>
        <w:rPr>
          <w:bCs/>
          <w:sz w:val="24"/>
          <w:szCs w:val="24"/>
          <w:lang w:val="uk-UA"/>
        </w:rPr>
      </w:pPr>
    </w:p>
    <w:p w14:paraId="23822569">
      <w:pPr>
        <w:ind w:left="0" w:leftChars="0" w:firstLine="0" w:firstLineChars="0"/>
        <w:jc w:val="both"/>
        <w:rPr>
          <w:bCs/>
          <w:sz w:val="24"/>
          <w:szCs w:val="24"/>
          <w:lang w:val="uk-UA"/>
        </w:rPr>
      </w:pPr>
    </w:p>
    <w:p w14:paraId="0E0ECBB3">
      <w:pPr>
        <w:ind w:left="0" w:leftChars="0" w:firstLine="0" w:firstLineChars="0"/>
        <w:jc w:val="both"/>
        <w:rPr>
          <w:bCs/>
          <w:sz w:val="24"/>
          <w:szCs w:val="24"/>
          <w:lang w:val="uk-UA"/>
        </w:rPr>
      </w:pPr>
    </w:p>
    <w:p w14:paraId="1C9F1245">
      <w:pPr>
        <w:ind w:left="0" w:leftChars="0" w:firstLine="0" w:firstLineChars="0"/>
        <w:jc w:val="both"/>
        <w:rPr>
          <w:bCs/>
          <w:sz w:val="24"/>
          <w:szCs w:val="24"/>
          <w:lang w:val="uk-UA"/>
        </w:rPr>
      </w:pPr>
    </w:p>
    <w:p w14:paraId="679C5FE6">
      <w:pPr>
        <w:ind w:left="0" w:leftChars="0" w:firstLine="0" w:firstLineChars="0"/>
        <w:jc w:val="both"/>
        <w:rPr>
          <w:bCs/>
          <w:sz w:val="24"/>
          <w:szCs w:val="24"/>
          <w:lang w:val="uk-UA"/>
        </w:rPr>
      </w:pPr>
    </w:p>
    <w:p w14:paraId="46DEC5B0">
      <w:pPr>
        <w:ind w:left="0" w:leftChars="0" w:firstLine="0" w:firstLineChars="0"/>
        <w:jc w:val="both"/>
        <w:rPr>
          <w:bCs/>
          <w:sz w:val="24"/>
          <w:szCs w:val="24"/>
          <w:lang w:val="uk-UA"/>
        </w:rPr>
      </w:pPr>
    </w:p>
    <w:p w14:paraId="786B0BA0">
      <w:pPr>
        <w:ind w:left="0" w:hanging="2"/>
        <w:jc w:val="both"/>
        <w:rPr>
          <w:sz w:val="24"/>
          <w:szCs w:val="24"/>
          <w:lang w:val="uk-UA"/>
        </w:rPr>
      </w:pPr>
      <w:r>
        <w:rPr>
          <w:b/>
          <w:bCs/>
          <w:sz w:val="24"/>
          <w:szCs w:val="24"/>
          <w:lang w:val="uk-UA"/>
        </w:rPr>
        <w:t>Система оцінювання та вимоги.</w:t>
      </w:r>
    </w:p>
    <w:p w14:paraId="5632286C">
      <w:pPr>
        <w:ind w:left="0" w:hanging="2"/>
        <w:jc w:val="both"/>
        <w:rPr>
          <w:b/>
          <w:bCs/>
          <w:sz w:val="24"/>
          <w:szCs w:val="24"/>
          <w:lang w:val="uk-UA"/>
        </w:rPr>
      </w:pPr>
      <w:r>
        <w:rPr>
          <w:b/>
          <w:bCs/>
          <w:sz w:val="24"/>
          <w:szCs w:val="24"/>
          <w:lang w:val="uk-UA"/>
        </w:rPr>
        <w:t>Таблиця розподілу балів, які отримують здобувачі вищої освіти*</w:t>
      </w:r>
    </w:p>
    <w:p w14:paraId="1E78C16C">
      <w:pPr>
        <w:ind w:left="0" w:hanging="2"/>
        <w:jc w:val="both"/>
        <w:rPr>
          <w:sz w:val="24"/>
          <w:szCs w:val="24"/>
          <w:lang w:val="uk-UA"/>
        </w:rPr>
      </w:pPr>
    </w:p>
    <w:tbl>
      <w:tblPr>
        <w:tblStyle w:val="9"/>
        <w:tblW w:w="5000" w:type="pct"/>
        <w:tblInd w:w="55" w:type="dxa"/>
        <w:tblLayout w:type="fixed"/>
        <w:tblCellMar>
          <w:top w:w="55" w:type="dxa"/>
          <w:left w:w="55" w:type="dxa"/>
          <w:bottom w:w="55" w:type="dxa"/>
          <w:right w:w="55" w:type="dxa"/>
        </w:tblCellMar>
      </w:tblPr>
      <w:tblGrid>
        <w:gridCol w:w="1719"/>
        <w:gridCol w:w="516"/>
        <w:gridCol w:w="7"/>
        <w:gridCol w:w="510"/>
        <w:gridCol w:w="516"/>
        <w:gridCol w:w="7"/>
        <w:gridCol w:w="510"/>
        <w:gridCol w:w="522"/>
        <w:gridCol w:w="470"/>
        <w:gridCol w:w="470"/>
        <w:gridCol w:w="470"/>
        <w:gridCol w:w="470"/>
        <w:gridCol w:w="26"/>
        <w:gridCol w:w="310"/>
        <w:gridCol w:w="1275"/>
        <w:gridCol w:w="1371"/>
        <w:gridCol w:w="1139"/>
      </w:tblGrid>
      <w:tr w14:paraId="0ECD5CDA">
        <w:tblPrEx>
          <w:tblCellMar>
            <w:top w:w="55" w:type="dxa"/>
            <w:left w:w="55" w:type="dxa"/>
            <w:bottom w:w="55" w:type="dxa"/>
            <w:right w:w="55" w:type="dxa"/>
          </w:tblCellMar>
        </w:tblPrEx>
        <w:tc>
          <w:tcPr>
            <w:tcW w:w="1722" w:type="dxa"/>
            <w:vMerge w:val="restart"/>
            <w:tcBorders>
              <w:top w:val="single" w:color="000000" w:sz="4" w:space="0"/>
              <w:left w:val="single" w:color="000000" w:sz="4" w:space="0"/>
            </w:tcBorders>
          </w:tcPr>
          <w:p w14:paraId="3FBC2AEF">
            <w:pPr>
              <w:pStyle w:val="56"/>
              <w:snapToGrid w:val="0"/>
              <w:ind w:left="0" w:hanging="2"/>
              <w:jc w:val="both"/>
              <w:rPr>
                <w:lang w:val="uk-UA"/>
              </w:rPr>
            </w:pPr>
            <w:r>
              <w:rPr>
                <w:lang w:val="uk-UA"/>
              </w:rPr>
              <w:t>Теми</w:t>
            </w:r>
          </w:p>
        </w:tc>
        <w:tc>
          <w:tcPr>
            <w:tcW w:w="4799" w:type="dxa"/>
            <w:gridSpan w:val="13"/>
            <w:vMerge w:val="restart"/>
            <w:tcBorders>
              <w:top w:val="single" w:color="000000" w:sz="4" w:space="0"/>
              <w:left w:val="single" w:color="000000" w:sz="4" w:space="0"/>
            </w:tcBorders>
          </w:tcPr>
          <w:p w14:paraId="79AE7D24">
            <w:pPr>
              <w:pStyle w:val="56"/>
              <w:snapToGrid w:val="0"/>
              <w:ind w:left="0" w:hanging="2"/>
              <w:jc w:val="center"/>
              <w:rPr>
                <w:b/>
                <w:bCs/>
                <w:lang w:val="uk-UA"/>
              </w:rPr>
            </w:pPr>
          </w:p>
          <w:p w14:paraId="12CAF128">
            <w:pPr>
              <w:pStyle w:val="56"/>
              <w:ind w:left="0" w:hanging="2"/>
              <w:jc w:val="center"/>
              <w:rPr>
                <w:b/>
                <w:bCs/>
                <w:lang w:val="uk-UA"/>
              </w:rPr>
            </w:pPr>
            <w:r>
              <w:rPr>
                <w:b/>
                <w:bCs/>
                <w:lang w:val="uk-UA"/>
              </w:rPr>
              <w:t>Поточний контроль знань</w:t>
            </w:r>
          </w:p>
        </w:tc>
        <w:tc>
          <w:tcPr>
            <w:tcW w:w="2649" w:type="dxa"/>
            <w:gridSpan w:val="2"/>
            <w:tcBorders>
              <w:top w:val="single" w:color="000000" w:sz="4" w:space="0"/>
              <w:left w:val="single" w:color="000000" w:sz="4" w:space="0"/>
              <w:bottom w:val="single" w:color="000000" w:sz="4" w:space="0"/>
            </w:tcBorders>
          </w:tcPr>
          <w:p w14:paraId="7736B69D">
            <w:pPr>
              <w:pStyle w:val="56"/>
              <w:ind w:left="0" w:hanging="2"/>
              <w:jc w:val="both"/>
              <w:rPr>
                <w:b/>
                <w:bCs/>
                <w:lang w:val="uk-UA"/>
              </w:rPr>
            </w:pPr>
            <w:r>
              <w:rPr>
                <w:b/>
                <w:bCs/>
                <w:lang w:val="uk-UA"/>
              </w:rPr>
              <w:t>Підсумковий контроль</w:t>
            </w:r>
          </w:p>
        </w:tc>
        <w:tc>
          <w:tcPr>
            <w:tcW w:w="1140" w:type="dxa"/>
            <w:tcBorders>
              <w:top w:val="single" w:color="000000" w:sz="4" w:space="0"/>
              <w:left w:val="single" w:color="000000" w:sz="4" w:space="0"/>
              <w:bottom w:val="single" w:color="000000" w:sz="4" w:space="0"/>
              <w:right w:val="single" w:color="000000" w:sz="4" w:space="0"/>
            </w:tcBorders>
          </w:tcPr>
          <w:p w14:paraId="77D69344">
            <w:pPr>
              <w:pStyle w:val="56"/>
              <w:ind w:left="0" w:hanging="2"/>
              <w:jc w:val="both"/>
              <w:rPr>
                <w:b/>
                <w:bCs/>
                <w:lang w:val="uk-UA"/>
              </w:rPr>
            </w:pPr>
          </w:p>
        </w:tc>
      </w:tr>
      <w:tr w14:paraId="191DAADE">
        <w:tblPrEx>
          <w:tblCellMar>
            <w:top w:w="55" w:type="dxa"/>
            <w:left w:w="55" w:type="dxa"/>
            <w:bottom w:w="55" w:type="dxa"/>
            <w:right w:w="55" w:type="dxa"/>
          </w:tblCellMar>
        </w:tblPrEx>
        <w:tc>
          <w:tcPr>
            <w:tcW w:w="1722" w:type="dxa"/>
            <w:vMerge w:val="continue"/>
            <w:tcBorders>
              <w:left w:val="single" w:color="000000" w:sz="4" w:space="0"/>
            </w:tcBorders>
          </w:tcPr>
          <w:p w14:paraId="4AC759DE">
            <w:pPr>
              <w:pStyle w:val="56"/>
              <w:snapToGrid w:val="0"/>
              <w:ind w:left="0" w:hanging="2"/>
              <w:jc w:val="both"/>
              <w:rPr>
                <w:lang w:val="uk-UA"/>
              </w:rPr>
            </w:pPr>
          </w:p>
        </w:tc>
        <w:tc>
          <w:tcPr>
            <w:tcW w:w="4799" w:type="dxa"/>
            <w:gridSpan w:val="13"/>
            <w:vMerge w:val="continue"/>
            <w:tcBorders>
              <w:left w:val="single" w:color="000000" w:sz="4" w:space="0"/>
              <w:bottom w:val="single" w:color="000000" w:sz="4" w:space="0"/>
            </w:tcBorders>
          </w:tcPr>
          <w:p w14:paraId="5C929AC7">
            <w:pPr>
              <w:pStyle w:val="56"/>
              <w:ind w:left="0" w:hanging="2"/>
              <w:jc w:val="center"/>
              <w:rPr>
                <w:lang w:val="uk-UA"/>
              </w:rPr>
            </w:pPr>
          </w:p>
        </w:tc>
        <w:tc>
          <w:tcPr>
            <w:tcW w:w="1276" w:type="dxa"/>
            <w:tcBorders>
              <w:top w:val="single" w:color="000000" w:sz="4" w:space="0"/>
              <w:left w:val="single" w:color="000000" w:sz="4" w:space="0"/>
              <w:bottom w:val="single" w:color="000000" w:sz="4" w:space="0"/>
            </w:tcBorders>
          </w:tcPr>
          <w:p w14:paraId="3BD785B9">
            <w:pPr>
              <w:pStyle w:val="56"/>
              <w:ind w:left="0" w:hanging="2"/>
              <w:jc w:val="both"/>
              <w:rPr>
                <w:lang w:val="uk-UA"/>
              </w:rPr>
            </w:pPr>
            <w:r>
              <w:rPr>
                <w:b/>
                <w:bCs/>
                <w:lang w:val="uk-UA"/>
              </w:rPr>
              <w:t xml:space="preserve">Модульна контрольна робота </w:t>
            </w:r>
          </w:p>
        </w:tc>
        <w:tc>
          <w:tcPr>
            <w:tcW w:w="1373" w:type="dxa"/>
            <w:tcBorders>
              <w:top w:val="single" w:color="000000" w:sz="4" w:space="0"/>
              <w:left w:val="single" w:color="000000" w:sz="4" w:space="0"/>
              <w:bottom w:val="single" w:color="000000" w:sz="4" w:space="0"/>
            </w:tcBorders>
          </w:tcPr>
          <w:p w14:paraId="11DB7466">
            <w:pPr>
              <w:pStyle w:val="56"/>
              <w:ind w:left="0" w:hanging="2"/>
              <w:jc w:val="both"/>
              <w:rPr>
                <w:lang w:val="uk-UA"/>
              </w:rPr>
            </w:pPr>
            <w:r>
              <w:rPr>
                <w:b/>
                <w:bCs/>
                <w:lang w:val="uk-UA"/>
              </w:rPr>
              <w:t>Залік**</w:t>
            </w:r>
          </w:p>
        </w:tc>
        <w:tc>
          <w:tcPr>
            <w:tcW w:w="1140" w:type="dxa"/>
            <w:tcBorders>
              <w:top w:val="single" w:color="000000" w:sz="4" w:space="0"/>
              <w:left w:val="single" w:color="000000" w:sz="4" w:space="0"/>
              <w:bottom w:val="single" w:color="000000" w:sz="4" w:space="0"/>
              <w:right w:val="single" w:color="000000" w:sz="4" w:space="0"/>
            </w:tcBorders>
          </w:tcPr>
          <w:p w14:paraId="3E87C037">
            <w:pPr>
              <w:pStyle w:val="56"/>
              <w:ind w:left="0" w:hanging="2"/>
              <w:jc w:val="both"/>
              <w:rPr>
                <w:lang w:val="uk-UA"/>
              </w:rPr>
            </w:pPr>
            <w:r>
              <w:rPr>
                <w:b/>
                <w:bCs/>
                <w:lang w:val="uk-UA"/>
              </w:rPr>
              <w:t>Загальна кількість балів</w:t>
            </w:r>
          </w:p>
        </w:tc>
      </w:tr>
      <w:tr w14:paraId="79ED7BDC">
        <w:tblPrEx>
          <w:tblCellMar>
            <w:top w:w="55" w:type="dxa"/>
            <w:left w:w="55" w:type="dxa"/>
            <w:bottom w:w="55" w:type="dxa"/>
            <w:right w:w="55" w:type="dxa"/>
          </w:tblCellMar>
        </w:tblPrEx>
        <w:trPr>
          <w:trHeight w:val="831" w:hRule="atLeast"/>
        </w:trPr>
        <w:tc>
          <w:tcPr>
            <w:tcW w:w="1722" w:type="dxa"/>
            <w:vMerge w:val="continue"/>
            <w:tcBorders>
              <w:left w:val="single" w:color="000000" w:sz="4" w:space="0"/>
              <w:bottom w:val="single" w:color="000000" w:sz="4" w:space="0"/>
            </w:tcBorders>
          </w:tcPr>
          <w:p w14:paraId="598BA698">
            <w:pPr>
              <w:pStyle w:val="56"/>
              <w:snapToGrid w:val="0"/>
              <w:ind w:left="0" w:hanging="2"/>
              <w:jc w:val="both"/>
              <w:rPr>
                <w:lang w:val="uk-UA"/>
              </w:rPr>
            </w:pPr>
          </w:p>
        </w:tc>
        <w:tc>
          <w:tcPr>
            <w:tcW w:w="522" w:type="dxa"/>
            <w:gridSpan w:val="2"/>
            <w:tcBorders>
              <w:left w:val="single" w:color="000000" w:sz="4" w:space="0"/>
              <w:bottom w:val="single" w:color="000000" w:sz="4" w:space="0"/>
            </w:tcBorders>
            <w:textDirection w:val="btLr"/>
          </w:tcPr>
          <w:p w14:paraId="69A0F64B">
            <w:pPr>
              <w:pStyle w:val="56"/>
              <w:ind w:left="0" w:hanging="2"/>
              <w:jc w:val="center"/>
              <w:rPr>
                <w:lang w:val="uk-UA"/>
              </w:rPr>
            </w:pPr>
            <w:r>
              <w:rPr>
                <w:lang w:val="uk-UA"/>
              </w:rPr>
              <w:t>Тема 1</w:t>
            </w:r>
          </w:p>
        </w:tc>
        <w:tc>
          <w:tcPr>
            <w:tcW w:w="509" w:type="dxa"/>
            <w:tcBorders>
              <w:left w:val="single" w:color="000000" w:sz="4" w:space="0"/>
              <w:bottom w:val="single" w:color="000000" w:sz="4" w:space="0"/>
            </w:tcBorders>
            <w:textDirection w:val="btLr"/>
          </w:tcPr>
          <w:p w14:paraId="564F0166">
            <w:pPr>
              <w:ind w:left="0" w:hanging="2"/>
              <w:jc w:val="center"/>
              <w:rPr>
                <w:lang w:val="uk-UA"/>
              </w:rPr>
            </w:pPr>
            <w:r>
              <w:rPr>
                <w:lang w:val="uk-UA"/>
              </w:rPr>
              <w:t>Тема 2</w:t>
            </w:r>
          </w:p>
        </w:tc>
        <w:tc>
          <w:tcPr>
            <w:tcW w:w="522" w:type="dxa"/>
            <w:gridSpan w:val="2"/>
            <w:tcBorders>
              <w:left w:val="single" w:color="000000" w:sz="4" w:space="0"/>
              <w:bottom w:val="single" w:color="000000" w:sz="4" w:space="0"/>
            </w:tcBorders>
            <w:textDirection w:val="btLr"/>
          </w:tcPr>
          <w:p w14:paraId="18AE23A7">
            <w:pPr>
              <w:ind w:left="0" w:hanging="2"/>
              <w:jc w:val="center"/>
              <w:rPr>
                <w:lang w:val="uk-UA"/>
              </w:rPr>
            </w:pPr>
            <w:r>
              <w:rPr>
                <w:lang w:val="uk-UA"/>
              </w:rPr>
              <w:t>Тема 3</w:t>
            </w:r>
          </w:p>
        </w:tc>
        <w:tc>
          <w:tcPr>
            <w:tcW w:w="509" w:type="dxa"/>
            <w:tcBorders>
              <w:left w:val="single" w:color="000000" w:sz="4" w:space="0"/>
              <w:bottom w:val="single" w:color="000000" w:sz="4" w:space="0"/>
            </w:tcBorders>
            <w:textDirection w:val="btLr"/>
          </w:tcPr>
          <w:p w14:paraId="20678237">
            <w:pPr>
              <w:ind w:left="0" w:hanging="2"/>
              <w:jc w:val="center"/>
              <w:rPr>
                <w:lang w:val="uk-UA"/>
              </w:rPr>
            </w:pPr>
            <w:r>
              <w:rPr>
                <w:lang w:val="uk-UA"/>
              </w:rPr>
              <w:t>Тема 4</w:t>
            </w:r>
          </w:p>
        </w:tc>
        <w:tc>
          <w:tcPr>
            <w:tcW w:w="522" w:type="dxa"/>
            <w:tcBorders>
              <w:left w:val="single" w:color="000000" w:sz="4" w:space="0"/>
              <w:bottom w:val="single" w:color="000000" w:sz="4" w:space="0"/>
            </w:tcBorders>
            <w:textDirection w:val="btLr"/>
          </w:tcPr>
          <w:p w14:paraId="6A71161C">
            <w:pPr>
              <w:ind w:left="0" w:hanging="2"/>
              <w:jc w:val="center"/>
              <w:rPr>
                <w:lang w:val="uk-UA"/>
              </w:rPr>
            </w:pPr>
            <w:r>
              <w:rPr>
                <w:lang w:val="uk-UA"/>
              </w:rPr>
              <w:t>Тема 5</w:t>
            </w:r>
          </w:p>
        </w:tc>
        <w:tc>
          <w:tcPr>
            <w:tcW w:w="470" w:type="dxa"/>
            <w:tcBorders>
              <w:left w:val="single" w:color="000000" w:sz="4" w:space="0"/>
              <w:bottom w:val="single" w:color="000000" w:sz="4" w:space="0"/>
            </w:tcBorders>
            <w:textDirection w:val="btLr"/>
          </w:tcPr>
          <w:p w14:paraId="6E5B166B">
            <w:pPr>
              <w:ind w:left="0" w:hanging="2"/>
              <w:jc w:val="center"/>
              <w:rPr>
                <w:lang w:val="uk-UA"/>
              </w:rPr>
            </w:pPr>
            <w:r>
              <w:rPr>
                <w:lang w:val="uk-UA"/>
              </w:rPr>
              <w:t>Тема 6</w:t>
            </w:r>
          </w:p>
        </w:tc>
        <w:tc>
          <w:tcPr>
            <w:tcW w:w="470" w:type="dxa"/>
            <w:tcBorders>
              <w:left w:val="single" w:color="000000" w:sz="4" w:space="0"/>
              <w:bottom w:val="single" w:color="000000" w:sz="4" w:space="0"/>
            </w:tcBorders>
            <w:textDirection w:val="btLr"/>
          </w:tcPr>
          <w:p w14:paraId="55DD4E81">
            <w:pPr>
              <w:ind w:left="0" w:hanging="2"/>
              <w:jc w:val="center"/>
              <w:rPr>
                <w:lang w:val="uk-UA"/>
              </w:rPr>
            </w:pPr>
            <w:r>
              <w:rPr>
                <w:lang w:val="uk-UA"/>
              </w:rPr>
              <w:t>Тема 7</w:t>
            </w:r>
          </w:p>
        </w:tc>
        <w:tc>
          <w:tcPr>
            <w:tcW w:w="470" w:type="dxa"/>
            <w:tcBorders>
              <w:left w:val="single" w:color="000000" w:sz="4" w:space="0"/>
              <w:bottom w:val="single" w:color="000000" w:sz="4" w:space="0"/>
            </w:tcBorders>
            <w:textDirection w:val="btLr"/>
          </w:tcPr>
          <w:p w14:paraId="1F15FBF7">
            <w:pPr>
              <w:ind w:left="0" w:hanging="2"/>
              <w:jc w:val="center"/>
              <w:rPr>
                <w:lang w:val="uk-UA"/>
              </w:rPr>
            </w:pPr>
            <w:r>
              <w:rPr>
                <w:lang w:val="uk-UA"/>
              </w:rPr>
              <w:t>Тема 8</w:t>
            </w:r>
          </w:p>
        </w:tc>
        <w:tc>
          <w:tcPr>
            <w:tcW w:w="470" w:type="dxa"/>
            <w:tcBorders>
              <w:left w:val="single" w:color="000000" w:sz="4" w:space="0"/>
              <w:bottom w:val="single" w:color="000000" w:sz="4" w:space="0"/>
            </w:tcBorders>
            <w:textDirection w:val="btLr"/>
          </w:tcPr>
          <w:p w14:paraId="3B0C9C4C">
            <w:pPr>
              <w:ind w:left="0" w:hanging="2"/>
              <w:jc w:val="center"/>
              <w:rPr>
                <w:lang w:val="uk-UA"/>
              </w:rPr>
            </w:pPr>
            <w:r>
              <w:rPr>
                <w:lang w:val="uk-UA"/>
              </w:rPr>
              <w:t>Тема 9</w:t>
            </w:r>
          </w:p>
        </w:tc>
        <w:tc>
          <w:tcPr>
            <w:tcW w:w="335" w:type="dxa"/>
            <w:gridSpan w:val="2"/>
            <w:tcBorders>
              <w:left w:val="single" w:color="000000" w:sz="4" w:space="0"/>
              <w:bottom w:val="single" w:color="000000" w:sz="4" w:space="0"/>
            </w:tcBorders>
            <w:textDirection w:val="btLr"/>
          </w:tcPr>
          <w:p w14:paraId="5D0E2DEC">
            <w:pPr>
              <w:ind w:left="0" w:hanging="2"/>
              <w:jc w:val="center"/>
              <w:rPr>
                <w:lang w:val="uk-UA"/>
              </w:rPr>
            </w:pPr>
            <w:r>
              <w:rPr>
                <w:lang w:val="uk-UA"/>
              </w:rPr>
              <w:t>Тема 10</w:t>
            </w:r>
          </w:p>
        </w:tc>
        <w:tc>
          <w:tcPr>
            <w:tcW w:w="1276" w:type="dxa"/>
            <w:vMerge w:val="restart"/>
            <w:tcBorders>
              <w:left w:val="single" w:color="000000" w:sz="4" w:space="0"/>
              <w:bottom w:val="single" w:color="000000" w:sz="4" w:space="0"/>
            </w:tcBorders>
          </w:tcPr>
          <w:p w14:paraId="69BBBDB0">
            <w:pPr>
              <w:snapToGrid w:val="0"/>
              <w:ind w:left="0" w:hanging="2"/>
              <w:jc w:val="center"/>
              <w:rPr>
                <w:lang w:val="uk-UA"/>
              </w:rPr>
            </w:pPr>
          </w:p>
          <w:p w14:paraId="546F7D12">
            <w:pPr>
              <w:snapToGrid w:val="0"/>
              <w:ind w:left="0" w:hanging="2"/>
              <w:jc w:val="center"/>
              <w:rPr>
                <w:lang w:val="uk-UA"/>
              </w:rPr>
            </w:pPr>
          </w:p>
          <w:p w14:paraId="25350374">
            <w:pPr>
              <w:snapToGrid w:val="0"/>
              <w:ind w:left="0" w:hanging="2"/>
              <w:jc w:val="center"/>
              <w:rPr>
                <w:lang w:val="uk-UA"/>
              </w:rPr>
            </w:pPr>
            <w:r>
              <w:rPr>
                <w:lang w:val="uk-UA"/>
              </w:rPr>
              <w:t>20</w:t>
            </w:r>
          </w:p>
        </w:tc>
        <w:tc>
          <w:tcPr>
            <w:tcW w:w="1373" w:type="dxa"/>
            <w:vMerge w:val="restart"/>
            <w:tcBorders>
              <w:left w:val="single" w:color="000000" w:sz="4" w:space="0"/>
              <w:bottom w:val="single" w:color="000000" w:sz="4" w:space="0"/>
            </w:tcBorders>
          </w:tcPr>
          <w:p w14:paraId="778ECC36">
            <w:pPr>
              <w:pStyle w:val="56"/>
              <w:snapToGrid w:val="0"/>
              <w:ind w:left="0" w:hanging="2"/>
              <w:jc w:val="center"/>
              <w:rPr>
                <w:lang w:val="uk-UA"/>
              </w:rPr>
            </w:pPr>
          </w:p>
          <w:p w14:paraId="70C67E8D">
            <w:pPr>
              <w:pStyle w:val="56"/>
              <w:snapToGrid w:val="0"/>
              <w:ind w:left="0" w:hanging="2"/>
              <w:jc w:val="center"/>
              <w:rPr>
                <w:lang w:val="uk-UA"/>
              </w:rPr>
            </w:pPr>
          </w:p>
          <w:p w14:paraId="529F6892">
            <w:pPr>
              <w:pStyle w:val="56"/>
              <w:snapToGrid w:val="0"/>
              <w:ind w:left="0" w:hanging="2"/>
              <w:jc w:val="center"/>
              <w:rPr>
                <w:lang w:val="uk-UA"/>
              </w:rPr>
            </w:pPr>
            <w:r>
              <w:rPr>
                <w:lang w:val="uk-UA"/>
              </w:rPr>
              <w:t>20</w:t>
            </w:r>
            <w:r>
              <w:rPr>
                <w:color w:val="000000"/>
                <w:sz w:val="24"/>
                <w:szCs w:val="24"/>
                <w:lang w:val="uk-UA"/>
              </w:rPr>
              <w:t>*</w:t>
            </w:r>
          </w:p>
        </w:tc>
        <w:tc>
          <w:tcPr>
            <w:tcW w:w="1140" w:type="dxa"/>
            <w:vMerge w:val="restart"/>
            <w:tcBorders>
              <w:left w:val="single" w:color="000000" w:sz="4" w:space="0"/>
              <w:bottom w:val="single" w:color="000000" w:sz="4" w:space="0"/>
              <w:right w:val="single" w:color="000000" w:sz="4" w:space="0"/>
            </w:tcBorders>
          </w:tcPr>
          <w:p w14:paraId="3C198C66">
            <w:pPr>
              <w:pStyle w:val="56"/>
              <w:snapToGrid w:val="0"/>
              <w:ind w:left="0" w:hanging="2"/>
              <w:jc w:val="center"/>
              <w:rPr>
                <w:lang w:val="uk-UA"/>
              </w:rPr>
            </w:pPr>
          </w:p>
          <w:p w14:paraId="2B948A96">
            <w:pPr>
              <w:pStyle w:val="56"/>
              <w:snapToGrid w:val="0"/>
              <w:ind w:left="0" w:hanging="2"/>
              <w:jc w:val="center"/>
              <w:rPr>
                <w:lang w:val="uk-UA"/>
              </w:rPr>
            </w:pPr>
          </w:p>
          <w:p w14:paraId="503E2ED4">
            <w:pPr>
              <w:pStyle w:val="56"/>
              <w:snapToGrid w:val="0"/>
              <w:ind w:left="0" w:hanging="2"/>
              <w:jc w:val="center"/>
              <w:rPr>
                <w:lang w:val="uk-UA"/>
              </w:rPr>
            </w:pPr>
            <w:r>
              <w:rPr>
                <w:lang w:val="uk-UA"/>
              </w:rPr>
              <w:t>100</w:t>
            </w:r>
          </w:p>
        </w:tc>
      </w:tr>
      <w:tr w14:paraId="616238A9">
        <w:tblPrEx>
          <w:tblCellMar>
            <w:top w:w="55" w:type="dxa"/>
            <w:left w:w="55" w:type="dxa"/>
            <w:bottom w:w="55" w:type="dxa"/>
            <w:right w:w="55" w:type="dxa"/>
          </w:tblCellMar>
        </w:tblPrEx>
        <w:tc>
          <w:tcPr>
            <w:tcW w:w="1722" w:type="dxa"/>
            <w:tcBorders>
              <w:left w:val="single" w:color="000000" w:sz="4" w:space="0"/>
              <w:bottom w:val="single" w:color="000000" w:sz="4" w:space="0"/>
            </w:tcBorders>
          </w:tcPr>
          <w:p w14:paraId="54077BD6">
            <w:pPr>
              <w:pStyle w:val="56"/>
              <w:ind w:left="0" w:hanging="2"/>
              <w:jc w:val="both"/>
              <w:rPr>
                <w:lang w:val="uk-UA"/>
              </w:rPr>
            </w:pPr>
            <w:r>
              <w:rPr>
                <w:lang w:val="uk-UA"/>
              </w:rPr>
              <w:t>Робота на семінарському занятті</w:t>
            </w:r>
          </w:p>
        </w:tc>
        <w:tc>
          <w:tcPr>
            <w:tcW w:w="515" w:type="dxa"/>
            <w:tcBorders>
              <w:left w:val="single" w:color="000000" w:sz="4" w:space="0"/>
              <w:bottom w:val="single" w:color="000000" w:sz="4" w:space="0"/>
            </w:tcBorders>
          </w:tcPr>
          <w:p w14:paraId="022EC7BE">
            <w:pPr>
              <w:pStyle w:val="56"/>
              <w:snapToGrid w:val="0"/>
              <w:ind w:left="0" w:hanging="2"/>
              <w:jc w:val="center"/>
              <w:rPr>
                <w:lang w:val="uk-UA"/>
              </w:rPr>
            </w:pPr>
            <w:r>
              <w:rPr>
                <w:lang w:val="uk-UA"/>
              </w:rPr>
              <w:t>3</w:t>
            </w:r>
          </w:p>
        </w:tc>
        <w:tc>
          <w:tcPr>
            <w:tcW w:w="516" w:type="dxa"/>
            <w:gridSpan w:val="2"/>
            <w:tcBorders>
              <w:left w:val="single" w:color="000000" w:sz="4" w:space="0"/>
              <w:bottom w:val="single" w:color="000000" w:sz="4" w:space="0"/>
            </w:tcBorders>
          </w:tcPr>
          <w:p w14:paraId="126D3DDD">
            <w:pPr>
              <w:pStyle w:val="56"/>
              <w:snapToGrid w:val="0"/>
              <w:ind w:left="0" w:hanging="2"/>
              <w:jc w:val="center"/>
              <w:rPr>
                <w:lang w:val="uk-UA"/>
              </w:rPr>
            </w:pPr>
            <w:r>
              <w:rPr>
                <w:lang w:val="uk-UA"/>
              </w:rPr>
              <w:t>3</w:t>
            </w:r>
          </w:p>
        </w:tc>
        <w:tc>
          <w:tcPr>
            <w:tcW w:w="515" w:type="dxa"/>
            <w:tcBorders>
              <w:left w:val="single" w:color="000000" w:sz="4" w:space="0"/>
              <w:bottom w:val="single" w:color="000000" w:sz="4" w:space="0"/>
            </w:tcBorders>
          </w:tcPr>
          <w:p w14:paraId="2417AE8E">
            <w:pPr>
              <w:snapToGrid w:val="0"/>
              <w:ind w:left="0" w:hanging="2"/>
              <w:jc w:val="center"/>
              <w:rPr>
                <w:lang w:val="uk-UA"/>
              </w:rPr>
            </w:pPr>
            <w:r>
              <w:rPr>
                <w:lang w:val="uk-UA"/>
              </w:rPr>
              <w:t>3</w:t>
            </w:r>
          </w:p>
        </w:tc>
        <w:tc>
          <w:tcPr>
            <w:tcW w:w="516" w:type="dxa"/>
            <w:gridSpan w:val="2"/>
            <w:tcBorders>
              <w:left w:val="single" w:color="000000" w:sz="4" w:space="0"/>
              <w:bottom w:val="single" w:color="000000" w:sz="4" w:space="0"/>
            </w:tcBorders>
          </w:tcPr>
          <w:p w14:paraId="2AFA5790">
            <w:pPr>
              <w:snapToGrid w:val="0"/>
              <w:ind w:left="0" w:hanging="2"/>
              <w:jc w:val="center"/>
              <w:rPr>
                <w:lang w:val="uk-UA"/>
              </w:rPr>
            </w:pPr>
            <w:r>
              <w:rPr>
                <w:lang w:val="uk-UA"/>
              </w:rPr>
              <w:t>3</w:t>
            </w:r>
          </w:p>
        </w:tc>
        <w:tc>
          <w:tcPr>
            <w:tcW w:w="522" w:type="dxa"/>
            <w:tcBorders>
              <w:left w:val="single" w:color="000000" w:sz="4" w:space="0"/>
              <w:bottom w:val="single" w:color="000000" w:sz="4" w:space="0"/>
            </w:tcBorders>
          </w:tcPr>
          <w:p w14:paraId="7F977148">
            <w:pPr>
              <w:snapToGrid w:val="0"/>
              <w:ind w:left="0" w:hanging="2"/>
              <w:jc w:val="center"/>
              <w:rPr>
                <w:lang w:val="uk-UA"/>
              </w:rPr>
            </w:pPr>
            <w:r>
              <w:rPr>
                <w:lang w:val="uk-UA"/>
              </w:rPr>
              <w:t>3</w:t>
            </w:r>
          </w:p>
        </w:tc>
        <w:tc>
          <w:tcPr>
            <w:tcW w:w="470" w:type="dxa"/>
            <w:tcBorders>
              <w:left w:val="single" w:color="000000" w:sz="4" w:space="0"/>
              <w:bottom w:val="single" w:color="000000" w:sz="4" w:space="0"/>
            </w:tcBorders>
          </w:tcPr>
          <w:p w14:paraId="5BC8ACBA">
            <w:pPr>
              <w:snapToGrid w:val="0"/>
              <w:ind w:left="0" w:hanging="2"/>
              <w:jc w:val="center"/>
              <w:rPr>
                <w:lang w:val="uk-UA"/>
              </w:rPr>
            </w:pPr>
            <w:r>
              <w:rPr>
                <w:lang w:val="uk-UA"/>
              </w:rPr>
              <w:t>3</w:t>
            </w:r>
          </w:p>
        </w:tc>
        <w:tc>
          <w:tcPr>
            <w:tcW w:w="470" w:type="dxa"/>
            <w:tcBorders>
              <w:left w:val="single" w:color="000000" w:sz="4" w:space="0"/>
              <w:bottom w:val="single" w:color="000000" w:sz="4" w:space="0"/>
            </w:tcBorders>
          </w:tcPr>
          <w:p w14:paraId="084E18FD">
            <w:pPr>
              <w:snapToGrid w:val="0"/>
              <w:ind w:left="0" w:hanging="2"/>
              <w:jc w:val="center"/>
              <w:rPr>
                <w:lang w:val="uk-UA"/>
              </w:rPr>
            </w:pPr>
            <w:r>
              <w:rPr>
                <w:lang w:val="uk-UA"/>
              </w:rPr>
              <w:t>3</w:t>
            </w:r>
          </w:p>
        </w:tc>
        <w:tc>
          <w:tcPr>
            <w:tcW w:w="470" w:type="dxa"/>
            <w:tcBorders>
              <w:left w:val="single" w:color="000000" w:sz="4" w:space="0"/>
              <w:bottom w:val="single" w:color="000000" w:sz="4" w:space="0"/>
            </w:tcBorders>
          </w:tcPr>
          <w:p w14:paraId="719784B5">
            <w:pPr>
              <w:snapToGrid w:val="0"/>
              <w:ind w:left="0" w:hanging="2"/>
              <w:jc w:val="center"/>
              <w:rPr>
                <w:lang w:val="uk-UA"/>
              </w:rPr>
            </w:pPr>
            <w:r>
              <w:rPr>
                <w:lang w:val="uk-UA"/>
              </w:rPr>
              <w:t>3</w:t>
            </w:r>
          </w:p>
        </w:tc>
        <w:tc>
          <w:tcPr>
            <w:tcW w:w="496" w:type="dxa"/>
            <w:gridSpan w:val="2"/>
            <w:tcBorders>
              <w:left w:val="single" w:color="000000" w:sz="4" w:space="0"/>
              <w:bottom w:val="single" w:color="000000" w:sz="4" w:space="0"/>
            </w:tcBorders>
          </w:tcPr>
          <w:p w14:paraId="1238A3F3">
            <w:pPr>
              <w:snapToGrid w:val="0"/>
              <w:ind w:left="0" w:hanging="2"/>
              <w:jc w:val="center"/>
              <w:rPr>
                <w:lang w:val="uk-UA"/>
              </w:rPr>
            </w:pPr>
            <w:r>
              <w:rPr>
                <w:lang w:val="uk-UA"/>
              </w:rPr>
              <w:t>3</w:t>
            </w:r>
          </w:p>
        </w:tc>
        <w:tc>
          <w:tcPr>
            <w:tcW w:w="309" w:type="dxa"/>
            <w:tcBorders>
              <w:left w:val="single" w:color="000000" w:sz="4" w:space="0"/>
              <w:bottom w:val="single" w:color="000000" w:sz="4" w:space="0"/>
            </w:tcBorders>
          </w:tcPr>
          <w:p w14:paraId="438A9B37">
            <w:pPr>
              <w:snapToGrid w:val="0"/>
              <w:ind w:left="0" w:hanging="2"/>
              <w:jc w:val="center"/>
              <w:rPr>
                <w:lang w:val="uk-UA"/>
              </w:rPr>
            </w:pPr>
            <w:r>
              <w:rPr>
                <w:lang w:val="uk-UA"/>
              </w:rPr>
              <w:t>3</w:t>
            </w:r>
          </w:p>
        </w:tc>
        <w:tc>
          <w:tcPr>
            <w:tcW w:w="1276" w:type="dxa"/>
            <w:vMerge w:val="continue"/>
            <w:tcBorders>
              <w:left w:val="single" w:color="000000" w:sz="4" w:space="0"/>
              <w:bottom w:val="single" w:color="000000" w:sz="4" w:space="0"/>
            </w:tcBorders>
          </w:tcPr>
          <w:p w14:paraId="47848777">
            <w:pPr>
              <w:snapToGrid w:val="0"/>
              <w:ind w:left="0" w:hanging="2"/>
              <w:jc w:val="center"/>
              <w:rPr>
                <w:lang w:val="uk-UA"/>
              </w:rPr>
            </w:pPr>
          </w:p>
        </w:tc>
        <w:tc>
          <w:tcPr>
            <w:tcW w:w="1373" w:type="dxa"/>
            <w:vMerge w:val="continue"/>
            <w:tcBorders>
              <w:left w:val="single" w:color="000000" w:sz="4" w:space="0"/>
              <w:bottom w:val="single" w:color="000000" w:sz="4" w:space="0"/>
            </w:tcBorders>
          </w:tcPr>
          <w:p w14:paraId="6CAD4C87">
            <w:pPr>
              <w:pStyle w:val="56"/>
              <w:snapToGrid w:val="0"/>
              <w:ind w:left="0" w:hanging="2"/>
              <w:jc w:val="center"/>
              <w:rPr>
                <w:lang w:val="uk-UA"/>
              </w:rPr>
            </w:pPr>
          </w:p>
        </w:tc>
        <w:tc>
          <w:tcPr>
            <w:tcW w:w="1140" w:type="dxa"/>
            <w:vMerge w:val="continue"/>
            <w:tcBorders>
              <w:left w:val="single" w:color="000000" w:sz="4" w:space="0"/>
              <w:bottom w:val="single" w:color="000000" w:sz="4" w:space="0"/>
              <w:right w:val="single" w:color="000000" w:sz="4" w:space="0"/>
            </w:tcBorders>
          </w:tcPr>
          <w:p w14:paraId="0A6A635A">
            <w:pPr>
              <w:pStyle w:val="56"/>
              <w:snapToGrid w:val="0"/>
              <w:ind w:left="0" w:hanging="2"/>
              <w:jc w:val="center"/>
              <w:rPr>
                <w:lang w:val="uk-UA"/>
              </w:rPr>
            </w:pPr>
          </w:p>
        </w:tc>
      </w:tr>
      <w:tr w14:paraId="058FF105">
        <w:tblPrEx>
          <w:tblCellMar>
            <w:top w:w="55" w:type="dxa"/>
            <w:left w:w="55" w:type="dxa"/>
            <w:bottom w:w="55" w:type="dxa"/>
            <w:right w:w="55" w:type="dxa"/>
          </w:tblCellMar>
        </w:tblPrEx>
        <w:tc>
          <w:tcPr>
            <w:tcW w:w="1722" w:type="dxa"/>
            <w:tcBorders>
              <w:left w:val="single" w:color="000000" w:sz="4" w:space="0"/>
              <w:bottom w:val="single" w:color="000000" w:sz="4" w:space="0"/>
            </w:tcBorders>
          </w:tcPr>
          <w:p w14:paraId="56A69A81">
            <w:pPr>
              <w:pStyle w:val="56"/>
              <w:ind w:left="0" w:hanging="2"/>
              <w:jc w:val="both"/>
              <w:rPr>
                <w:lang w:val="uk-UA"/>
              </w:rPr>
            </w:pPr>
            <w:r>
              <w:rPr>
                <w:lang w:val="uk-UA"/>
              </w:rPr>
              <w:t>Самостійна робота</w:t>
            </w:r>
          </w:p>
        </w:tc>
        <w:tc>
          <w:tcPr>
            <w:tcW w:w="522" w:type="dxa"/>
            <w:gridSpan w:val="2"/>
            <w:tcBorders>
              <w:left w:val="single" w:color="000000" w:sz="4" w:space="0"/>
              <w:bottom w:val="single" w:color="000000" w:sz="4" w:space="0"/>
            </w:tcBorders>
          </w:tcPr>
          <w:p w14:paraId="69555032">
            <w:pPr>
              <w:pStyle w:val="56"/>
              <w:snapToGrid w:val="0"/>
              <w:ind w:left="0" w:hanging="2"/>
              <w:jc w:val="center"/>
              <w:rPr>
                <w:lang w:val="uk-UA"/>
              </w:rPr>
            </w:pPr>
            <w:r>
              <w:rPr>
                <w:lang w:val="uk-UA"/>
              </w:rPr>
              <w:t>3</w:t>
            </w:r>
          </w:p>
        </w:tc>
        <w:tc>
          <w:tcPr>
            <w:tcW w:w="509" w:type="dxa"/>
            <w:tcBorders>
              <w:left w:val="single" w:color="000000" w:sz="4" w:space="0"/>
              <w:bottom w:val="single" w:color="000000" w:sz="4" w:space="0"/>
            </w:tcBorders>
          </w:tcPr>
          <w:p w14:paraId="1C22657B">
            <w:pPr>
              <w:pStyle w:val="56"/>
              <w:snapToGrid w:val="0"/>
              <w:ind w:left="0" w:hanging="2"/>
              <w:jc w:val="center"/>
              <w:rPr>
                <w:lang w:val="uk-UA"/>
              </w:rPr>
            </w:pPr>
            <w:r>
              <w:rPr>
                <w:lang w:val="uk-UA"/>
              </w:rPr>
              <w:t>3</w:t>
            </w:r>
          </w:p>
        </w:tc>
        <w:tc>
          <w:tcPr>
            <w:tcW w:w="522" w:type="dxa"/>
            <w:gridSpan w:val="2"/>
            <w:tcBorders>
              <w:left w:val="single" w:color="000000" w:sz="4" w:space="0"/>
              <w:bottom w:val="single" w:color="000000" w:sz="4" w:space="0"/>
            </w:tcBorders>
          </w:tcPr>
          <w:p w14:paraId="47DC5FD6">
            <w:pPr>
              <w:snapToGrid w:val="0"/>
              <w:ind w:left="0" w:hanging="2"/>
              <w:jc w:val="center"/>
              <w:rPr>
                <w:lang w:val="uk-UA"/>
              </w:rPr>
            </w:pPr>
            <w:r>
              <w:rPr>
                <w:lang w:val="uk-UA"/>
              </w:rPr>
              <w:t>3</w:t>
            </w:r>
          </w:p>
        </w:tc>
        <w:tc>
          <w:tcPr>
            <w:tcW w:w="509" w:type="dxa"/>
            <w:tcBorders>
              <w:left w:val="single" w:color="000000" w:sz="4" w:space="0"/>
              <w:bottom w:val="single" w:color="000000" w:sz="4" w:space="0"/>
            </w:tcBorders>
          </w:tcPr>
          <w:p w14:paraId="2ECC60DD">
            <w:pPr>
              <w:snapToGrid w:val="0"/>
              <w:ind w:left="0" w:hanging="2"/>
              <w:jc w:val="center"/>
              <w:rPr>
                <w:lang w:val="uk-UA"/>
              </w:rPr>
            </w:pPr>
            <w:r>
              <w:rPr>
                <w:lang w:val="uk-UA"/>
              </w:rPr>
              <w:t>3</w:t>
            </w:r>
          </w:p>
        </w:tc>
        <w:tc>
          <w:tcPr>
            <w:tcW w:w="522" w:type="dxa"/>
            <w:tcBorders>
              <w:left w:val="single" w:color="000000" w:sz="4" w:space="0"/>
              <w:bottom w:val="single" w:color="000000" w:sz="4" w:space="0"/>
            </w:tcBorders>
          </w:tcPr>
          <w:p w14:paraId="1923695C">
            <w:pPr>
              <w:snapToGrid w:val="0"/>
              <w:ind w:left="0" w:hanging="2"/>
              <w:jc w:val="center"/>
              <w:rPr>
                <w:lang w:val="uk-UA"/>
              </w:rPr>
            </w:pPr>
            <w:r>
              <w:rPr>
                <w:lang w:val="uk-UA"/>
              </w:rPr>
              <w:t>3</w:t>
            </w:r>
          </w:p>
        </w:tc>
        <w:tc>
          <w:tcPr>
            <w:tcW w:w="470" w:type="dxa"/>
            <w:tcBorders>
              <w:left w:val="single" w:color="000000" w:sz="4" w:space="0"/>
              <w:bottom w:val="single" w:color="000000" w:sz="4" w:space="0"/>
            </w:tcBorders>
          </w:tcPr>
          <w:p w14:paraId="23E088A0">
            <w:pPr>
              <w:snapToGrid w:val="0"/>
              <w:ind w:left="0" w:hanging="2"/>
              <w:jc w:val="center"/>
              <w:rPr>
                <w:lang w:val="uk-UA"/>
              </w:rPr>
            </w:pPr>
            <w:r>
              <w:rPr>
                <w:lang w:val="uk-UA"/>
              </w:rPr>
              <w:t>3</w:t>
            </w:r>
          </w:p>
        </w:tc>
        <w:tc>
          <w:tcPr>
            <w:tcW w:w="470" w:type="dxa"/>
            <w:tcBorders>
              <w:left w:val="single" w:color="000000" w:sz="4" w:space="0"/>
              <w:bottom w:val="single" w:color="000000" w:sz="4" w:space="0"/>
            </w:tcBorders>
          </w:tcPr>
          <w:p w14:paraId="0199C30A">
            <w:pPr>
              <w:snapToGrid w:val="0"/>
              <w:ind w:left="0" w:hanging="2"/>
              <w:jc w:val="center"/>
              <w:rPr>
                <w:lang w:val="uk-UA"/>
              </w:rPr>
            </w:pPr>
            <w:r>
              <w:rPr>
                <w:lang w:val="uk-UA"/>
              </w:rPr>
              <w:t>3</w:t>
            </w:r>
          </w:p>
        </w:tc>
        <w:tc>
          <w:tcPr>
            <w:tcW w:w="470" w:type="dxa"/>
            <w:tcBorders>
              <w:left w:val="single" w:color="000000" w:sz="4" w:space="0"/>
              <w:bottom w:val="single" w:color="000000" w:sz="4" w:space="0"/>
            </w:tcBorders>
          </w:tcPr>
          <w:p w14:paraId="32217276">
            <w:pPr>
              <w:snapToGrid w:val="0"/>
              <w:ind w:left="0" w:hanging="2"/>
              <w:jc w:val="center"/>
              <w:rPr>
                <w:lang w:val="uk-UA"/>
              </w:rPr>
            </w:pPr>
            <w:r>
              <w:rPr>
                <w:lang w:val="uk-UA"/>
              </w:rPr>
              <w:t>3</w:t>
            </w:r>
          </w:p>
        </w:tc>
        <w:tc>
          <w:tcPr>
            <w:tcW w:w="470" w:type="dxa"/>
            <w:tcBorders>
              <w:left w:val="single" w:color="000000" w:sz="4" w:space="0"/>
              <w:bottom w:val="single" w:color="000000" w:sz="4" w:space="0"/>
            </w:tcBorders>
          </w:tcPr>
          <w:p w14:paraId="41E90DF0">
            <w:pPr>
              <w:snapToGrid w:val="0"/>
              <w:ind w:left="0" w:hanging="2"/>
              <w:jc w:val="center"/>
              <w:rPr>
                <w:lang w:val="uk-UA"/>
              </w:rPr>
            </w:pPr>
            <w:r>
              <w:rPr>
                <w:lang w:val="uk-UA"/>
              </w:rPr>
              <w:t>3</w:t>
            </w:r>
          </w:p>
        </w:tc>
        <w:tc>
          <w:tcPr>
            <w:tcW w:w="335" w:type="dxa"/>
            <w:gridSpan w:val="2"/>
            <w:tcBorders>
              <w:left w:val="single" w:color="000000" w:sz="4" w:space="0"/>
              <w:bottom w:val="single" w:color="000000" w:sz="4" w:space="0"/>
            </w:tcBorders>
          </w:tcPr>
          <w:p w14:paraId="1D39A2DA">
            <w:pPr>
              <w:snapToGrid w:val="0"/>
              <w:ind w:left="0" w:hanging="2"/>
              <w:jc w:val="center"/>
              <w:rPr>
                <w:lang w:val="uk-UA"/>
              </w:rPr>
            </w:pPr>
            <w:r>
              <w:rPr>
                <w:lang w:val="uk-UA"/>
              </w:rPr>
              <w:t>3</w:t>
            </w:r>
          </w:p>
        </w:tc>
        <w:tc>
          <w:tcPr>
            <w:tcW w:w="1276" w:type="dxa"/>
            <w:vMerge w:val="continue"/>
            <w:tcBorders>
              <w:left w:val="single" w:color="000000" w:sz="4" w:space="0"/>
              <w:bottom w:val="single" w:color="000000" w:sz="4" w:space="0"/>
            </w:tcBorders>
          </w:tcPr>
          <w:p w14:paraId="61F50D43">
            <w:pPr>
              <w:snapToGrid w:val="0"/>
              <w:ind w:left="0" w:hanging="2"/>
              <w:jc w:val="center"/>
              <w:rPr>
                <w:lang w:val="uk-UA"/>
              </w:rPr>
            </w:pPr>
          </w:p>
        </w:tc>
        <w:tc>
          <w:tcPr>
            <w:tcW w:w="1373" w:type="dxa"/>
            <w:vMerge w:val="continue"/>
            <w:tcBorders>
              <w:left w:val="single" w:color="000000" w:sz="4" w:space="0"/>
              <w:bottom w:val="single" w:color="000000" w:sz="4" w:space="0"/>
            </w:tcBorders>
          </w:tcPr>
          <w:p w14:paraId="6A37549F">
            <w:pPr>
              <w:pStyle w:val="56"/>
              <w:snapToGrid w:val="0"/>
              <w:ind w:left="0" w:hanging="2"/>
              <w:jc w:val="center"/>
              <w:rPr>
                <w:lang w:val="uk-UA"/>
              </w:rPr>
            </w:pPr>
          </w:p>
        </w:tc>
        <w:tc>
          <w:tcPr>
            <w:tcW w:w="1140" w:type="dxa"/>
            <w:vMerge w:val="continue"/>
            <w:tcBorders>
              <w:left w:val="single" w:color="000000" w:sz="4" w:space="0"/>
              <w:bottom w:val="single" w:color="000000" w:sz="4" w:space="0"/>
              <w:right w:val="single" w:color="000000" w:sz="4" w:space="0"/>
            </w:tcBorders>
          </w:tcPr>
          <w:p w14:paraId="5828B618">
            <w:pPr>
              <w:pStyle w:val="56"/>
              <w:snapToGrid w:val="0"/>
              <w:ind w:left="0" w:hanging="2"/>
              <w:jc w:val="center"/>
              <w:rPr>
                <w:lang w:val="uk-UA"/>
              </w:rPr>
            </w:pPr>
          </w:p>
        </w:tc>
      </w:tr>
    </w:tbl>
    <w:p w14:paraId="5EC57BBD">
      <w:pPr>
        <w:spacing w:line="276" w:lineRule="auto"/>
        <w:ind w:left="0" w:hanging="2"/>
        <w:jc w:val="both"/>
        <w:rPr>
          <w:color w:val="000000"/>
          <w:sz w:val="24"/>
          <w:szCs w:val="24"/>
          <w:lang w:val="uk-UA"/>
        </w:rPr>
      </w:pPr>
    </w:p>
    <w:p w14:paraId="5E137523">
      <w:pPr>
        <w:spacing w:line="276" w:lineRule="auto"/>
        <w:ind w:left="0" w:hanging="2"/>
        <w:jc w:val="both"/>
        <w:rPr>
          <w:color w:val="000000"/>
          <w:sz w:val="24"/>
          <w:szCs w:val="24"/>
          <w:lang w:val="uk-UA"/>
        </w:rPr>
      </w:pPr>
      <w:r>
        <w:rPr>
          <w:color w:val="000000"/>
          <w:sz w:val="24"/>
          <w:szCs w:val="24"/>
          <w:lang w:val="uk-UA"/>
        </w:rPr>
        <w:t>*Таблиця містить інформацію про максимальні бали за кожен вид навчальної роботи здобувача вищої освіти.</w:t>
      </w:r>
    </w:p>
    <w:p w14:paraId="278E0BB0">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bCs/>
          <w:color w:val="000000"/>
          <w:sz w:val="24"/>
          <w:szCs w:val="24"/>
          <w:lang w:val="uk-UA"/>
        </w:rPr>
      </w:pPr>
    </w:p>
    <w:p w14:paraId="08A9B176">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Під час оцінювання засвоєння кожної теми за поточну навчальну діяльність здобувачу освіти виставляють оцінки з урахуванням затверджених критеріїв оцінювання для відповідної дисципліни.</w:t>
      </w:r>
    </w:p>
    <w:p w14:paraId="45F40AC4">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Критерії оцінювання результатів навчання здобувачів освіти та розподіл балів, які вони отримують, регламентуються Положенням про оцінювання навчальних досягнень здобувачів вищої освіти у ПрАТ «ВНЗ «МАУП».</w:t>
      </w:r>
    </w:p>
    <w:p w14:paraId="0E57EDF9">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Модульний контроль проводиться на останньому занятті модуля у письмовій формі, у вигляді тестування.</w:t>
      </w:r>
    </w:p>
    <w:p w14:paraId="42EE07F1">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Критерії оцінювання модульного тесту з навчальної дисципліни «Ціноутворення»:</w:t>
      </w:r>
    </w:p>
    <w:p w14:paraId="6A8DA4A5">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При оцінюванні модульного тесту враховуються обсяг і правильність виконання завдань:</w:t>
      </w:r>
    </w:p>
    <w:p w14:paraId="38141475">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оцінка «відмінно» (А) виставляється за правильне виконання всіх завдань (або більше 90% всіх завдань);</w:t>
      </w:r>
    </w:p>
    <w:p w14:paraId="449FA3C6">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оцінка «добре» (B) виставляється за виконання 80% всіх завдань;</w:t>
      </w:r>
    </w:p>
    <w:p w14:paraId="2046A911">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оцінка «добре» (C) виставляється за виконання 70% всіх завдань;</w:t>
      </w:r>
    </w:p>
    <w:p w14:paraId="72BDE301">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оцінка «задовільно» (D) виставляється за правильне виконання 60% запропонованих завдань;</w:t>
      </w:r>
    </w:p>
    <w:p w14:paraId="5D59F0D1">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оцінка «задовільно» (E) виставляється, якщо правильно виконано більше 50% запропонованих завдань;</w:t>
      </w:r>
    </w:p>
    <w:p w14:paraId="7961CEE8">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оцінка «незадовільно» (FX) виставляється, якщо виконано менше 50% завдань.</w:t>
      </w:r>
    </w:p>
    <w:p w14:paraId="5BF9327D">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Неявка на модульний тест - 0 балів.</w:t>
      </w:r>
    </w:p>
    <w:p w14:paraId="5266586E">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Вищезазначені оцінки перетворюються на рейтингові бали таким чином:</w:t>
      </w:r>
    </w:p>
    <w:p w14:paraId="6C9C8403">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«А» - 18-20 балів;</w:t>
      </w:r>
    </w:p>
    <w:p w14:paraId="2CC12B1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«В» - 16-17 балів;</w:t>
      </w:r>
    </w:p>
    <w:p w14:paraId="1658F578">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«С» - 14-15 балів;</w:t>
      </w:r>
    </w:p>
    <w:p w14:paraId="3F8B113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«D» - 12-13 балів.</w:t>
      </w:r>
    </w:p>
    <w:p w14:paraId="33E97408">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«E» - 10-11 балів;</w:t>
      </w:r>
    </w:p>
    <w:p w14:paraId="69274F91">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bCs/>
          <w:color w:val="000000"/>
          <w:sz w:val="24"/>
          <w:szCs w:val="24"/>
          <w:lang w:val="uk-UA"/>
        </w:rPr>
      </w:pPr>
      <w:r>
        <w:rPr>
          <w:color w:val="000000"/>
          <w:sz w:val="24"/>
          <w:szCs w:val="24"/>
          <w:lang w:val="uk-UA"/>
        </w:rPr>
        <w:t>«FX» - менше 10 балів.</w:t>
      </w:r>
    </w:p>
    <w:p w14:paraId="2B3DE705">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Підсумкова семестрове оцінювання з дисципліни «Ціноутворення» є обов'язковою формою оцінювання результатів навчання студентів. Воно проводиться у терміни, визначені навчальним планом, і охоплює обсяг матеріалу, визначений програмою курсу.</w:t>
      </w:r>
    </w:p>
    <w:p w14:paraId="73AA1286">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Підсумкове оцінювання проводиться у формі тесту. До семестрового оцінювання допускається студент, який виконав усі необхідні роботи.</w:t>
      </w:r>
    </w:p>
    <w:p w14:paraId="4AED80B3">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Підсумкова оцінка виставляється на основі результатів навчання студента протягом семестру. Оцінка студента складається з балів, накопичених за результатами поточного оцінювання, та заохочувальних балів.</w:t>
      </w:r>
    </w:p>
    <w:p w14:paraId="483733D6">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Студенти, які виконали всі необхідні завдання і отримали оцінку 60 балів або вище, отримують оцінку, що відповідає отриманій оцінці, без додаткового тестування.</w:t>
      </w:r>
    </w:p>
    <w:p w14:paraId="17419FDB">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Для студентів, які виконали всі необхідні завдання, але отримали оцінку нижче 60 балів, а також для тих, хто бажає поліпшити свій бал (результат), викладач проводить підсумкову роботу  у формі тесту під час останнього запланованого заняття з дисципліни в навчальному семестрі.</w:t>
      </w:r>
    </w:p>
    <w:p w14:paraId="49A34D69">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b/>
          <w:bCs/>
          <w:color w:val="000000"/>
          <w:sz w:val="24"/>
          <w:szCs w:val="24"/>
          <w:lang w:val="uk-UA"/>
        </w:rPr>
        <w:t>Оцінювання додаткових (індивідуальних) видів навчальної діяльності. Оцінювання додаткових (індивідуальних) видів навчальної діяльності.</w:t>
      </w:r>
      <w:r>
        <w:rPr>
          <w:color w:val="000000"/>
          <w:sz w:val="24"/>
          <w:szCs w:val="24"/>
          <w:lang w:val="uk-UA"/>
        </w:rPr>
        <w:t xml:space="preserve"> До додаткових (індивідуальних) видів навчальної діяльності відносять участь здобувачів у роботі наукових конференцій, наукових гуртків здобувачів і проблемних груп, підготовці публікацій, участь у Всеукраїнських олімпіадах і конкурсах та Міжнародних конкурсах тощо понад обсяги завдань, які встановлені відповідною робочою програмою навчальної дисципліни. </w:t>
      </w:r>
    </w:p>
    <w:p w14:paraId="25156AF6">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За рішенням кафедри здобувачам освіти, які брали участь у науково-дослідній роботі та виконували певні види додаткових (індивідуальних) видів навчальної діяльності, можуть присуджуватися заохочувальні (бонусні) бали за визначену освітню компоненту.</w:t>
      </w:r>
    </w:p>
    <w:p w14:paraId="121F54EA">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bCs/>
          <w:color w:val="000000"/>
          <w:sz w:val="24"/>
          <w:szCs w:val="24"/>
          <w:lang w:val="uk-UA"/>
        </w:rPr>
      </w:pPr>
      <w:r>
        <w:rPr>
          <w:b/>
          <w:bCs/>
          <w:color w:val="000000"/>
          <w:sz w:val="24"/>
          <w:szCs w:val="24"/>
          <w:lang w:val="uk-UA"/>
        </w:rPr>
        <w:t>Оцінка самостійної роботи</w:t>
      </w:r>
    </w:p>
    <w:p w14:paraId="10D506D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 xml:space="preserve">Загальна кількість балів, отриманих студентом за виконання самостійної роботи, є одним із складових академічної успішності з дисципліни. </w:t>
      </w:r>
      <w:r>
        <w:rPr>
          <w:color w:val="000000"/>
          <w:sz w:val="24"/>
          <w:szCs w:val="24"/>
        </w:rPr>
        <w:t>Самостійна робота з кожної теми, відповідно до програми курсу, оцінюється в діапазоні від 0 до 3 балів за допомогою стандартизованих та узагальнених критеріїв оцінювання знань.</w:t>
      </w:r>
    </w:p>
    <w:p w14:paraId="6B802F99">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bCs/>
          <w:color w:val="000000"/>
          <w:sz w:val="24"/>
          <w:szCs w:val="24"/>
        </w:rPr>
      </w:pPr>
      <w:r>
        <w:rPr>
          <w:b/>
          <w:bCs/>
          <w:color w:val="000000"/>
          <w:sz w:val="24"/>
          <w:szCs w:val="24"/>
        </w:rPr>
        <w:t>Шкала оцінювання виконання самостійної роботи (індивідуальних завдань)</w:t>
      </w:r>
    </w:p>
    <w:p w14:paraId="6F2C70FD">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en-US"/>
        </w:rPr>
      </w:pPr>
      <w:r>
        <w:rPr>
          <w:b/>
          <w:bCs/>
          <w:color w:val="000000"/>
          <w:sz w:val="24"/>
          <w:szCs w:val="24"/>
          <w:lang w:val="en-US"/>
        </w:rPr>
        <w:t>критерії оцінювання.</w:t>
      </w:r>
    </w:p>
    <w:tbl>
      <w:tblPr>
        <w:tblStyle w:val="9"/>
        <w:tblW w:w="9481" w:type="dxa"/>
        <w:tblInd w:w="-60" w:type="dxa"/>
        <w:tblLayout w:type="fixed"/>
        <w:tblCellMar>
          <w:top w:w="0" w:type="dxa"/>
          <w:left w:w="115" w:type="dxa"/>
          <w:bottom w:w="0" w:type="dxa"/>
          <w:right w:w="115" w:type="dxa"/>
        </w:tblCellMar>
      </w:tblPr>
      <w:tblGrid>
        <w:gridCol w:w="2592"/>
        <w:gridCol w:w="1689"/>
        <w:gridCol w:w="1509"/>
        <w:gridCol w:w="1710"/>
        <w:gridCol w:w="1981"/>
      </w:tblGrid>
      <w:tr w14:paraId="5BD1A903">
        <w:tblPrEx>
          <w:tblCellMar>
            <w:top w:w="0" w:type="dxa"/>
            <w:left w:w="115" w:type="dxa"/>
            <w:bottom w:w="0" w:type="dxa"/>
            <w:right w:w="115" w:type="dxa"/>
          </w:tblCellMar>
        </w:tblPrEx>
        <w:tc>
          <w:tcPr>
            <w:tcW w:w="2592" w:type="dxa"/>
            <w:vMerge w:val="restart"/>
            <w:tcBorders>
              <w:top w:val="single" w:color="000000" w:sz="4" w:space="0"/>
              <w:left w:val="single" w:color="000000" w:sz="4" w:space="0"/>
              <w:bottom w:val="single" w:color="000000" w:sz="4" w:space="0"/>
            </w:tcBorders>
          </w:tcPr>
          <w:p w14:paraId="38620DFF">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rPr>
              <w:t>Максимально можлива оцінка самостійної роботи (індивідуальні завдання)</w:t>
            </w:r>
          </w:p>
        </w:tc>
        <w:tc>
          <w:tcPr>
            <w:tcW w:w="6889" w:type="dxa"/>
            <w:gridSpan w:val="4"/>
            <w:tcBorders>
              <w:top w:val="single" w:color="000000" w:sz="4" w:space="0"/>
              <w:left w:val="single" w:color="000000" w:sz="4" w:space="0"/>
              <w:bottom w:val="single" w:color="000000" w:sz="4" w:space="0"/>
              <w:right w:val="single" w:color="000000" w:sz="4" w:space="0"/>
            </w:tcBorders>
            <w:vAlign w:val="center"/>
          </w:tcPr>
          <w:p w14:paraId="3C50E41F">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rPr>
              <w:t>Рівень виконання</w:t>
            </w:r>
          </w:p>
        </w:tc>
      </w:tr>
      <w:tr w14:paraId="4C0015D2">
        <w:tblPrEx>
          <w:tblCellMar>
            <w:top w:w="0" w:type="dxa"/>
            <w:left w:w="115" w:type="dxa"/>
            <w:bottom w:w="0" w:type="dxa"/>
            <w:right w:w="115" w:type="dxa"/>
          </w:tblCellMar>
        </w:tblPrEx>
        <w:tc>
          <w:tcPr>
            <w:tcW w:w="2592" w:type="dxa"/>
            <w:vMerge w:val="continue"/>
            <w:tcBorders>
              <w:top w:val="single" w:color="000000" w:sz="4" w:space="0"/>
              <w:left w:val="single" w:color="000000" w:sz="4" w:space="0"/>
              <w:bottom w:val="single" w:color="000000" w:sz="4" w:space="0"/>
            </w:tcBorders>
          </w:tcPr>
          <w:p w14:paraId="48E6E8A1">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p>
        </w:tc>
        <w:tc>
          <w:tcPr>
            <w:tcW w:w="1689" w:type="dxa"/>
            <w:tcBorders>
              <w:left w:val="single" w:color="000000" w:sz="4" w:space="0"/>
              <w:bottom w:val="single" w:color="000000" w:sz="4" w:space="0"/>
            </w:tcBorders>
            <w:vAlign w:val="center"/>
          </w:tcPr>
          <w:p w14:paraId="44CB557F">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rPr>
              <w:t>Відмінно</w:t>
            </w:r>
          </w:p>
        </w:tc>
        <w:tc>
          <w:tcPr>
            <w:tcW w:w="1509" w:type="dxa"/>
            <w:tcBorders>
              <w:left w:val="single" w:color="000000" w:sz="4" w:space="0"/>
              <w:bottom w:val="single" w:color="000000" w:sz="4" w:space="0"/>
            </w:tcBorders>
            <w:vAlign w:val="center"/>
          </w:tcPr>
          <w:p w14:paraId="68025F4C">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rPr>
              <w:t>Добре</w:t>
            </w:r>
          </w:p>
        </w:tc>
        <w:tc>
          <w:tcPr>
            <w:tcW w:w="1710" w:type="dxa"/>
            <w:tcBorders>
              <w:left w:val="single" w:color="000000" w:sz="4" w:space="0"/>
              <w:bottom w:val="single" w:color="000000" w:sz="4" w:space="0"/>
            </w:tcBorders>
            <w:vAlign w:val="center"/>
          </w:tcPr>
          <w:p w14:paraId="2E7BCB0C">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rPr>
              <w:t>Задовільно</w:t>
            </w:r>
          </w:p>
        </w:tc>
        <w:tc>
          <w:tcPr>
            <w:tcW w:w="1981" w:type="dxa"/>
            <w:tcBorders>
              <w:left w:val="single" w:color="000000" w:sz="4" w:space="0"/>
              <w:bottom w:val="single" w:color="000000" w:sz="4" w:space="0"/>
              <w:right w:val="single" w:color="000000" w:sz="4" w:space="0"/>
            </w:tcBorders>
            <w:vAlign w:val="center"/>
          </w:tcPr>
          <w:p w14:paraId="0324D468">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rPr>
              <w:t>Незадовільно</w:t>
            </w:r>
          </w:p>
        </w:tc>
      </w:tr>
      <w:tr w14:paraId="35FB3FDF">
        <w:tblPrEx>
          <w:tblCellMar>
            <w:top w:w="0" w:type="dxa"/>
            <w:left w:w="115" w:type="dxa"/>
            <w:bottom w:w="0" w:type="dxa"/>
            <w:right w:w="115" w:type="dxa"/>
          </w:tblCellMar>
        </w:tblPrEx>
        <w:tc>
          <w:tcPr>
            <w:tcW w:w="2592" w:type="dxa"/>
            <w:tcBorders>
              <w:left w:val="single" w:color="000000" w:sz="4" w:space="0"/>
              <w:bottom w:val="single" w:color="000000" w:sz="4" w:space="0"/>
            </w:tcBorders>
          </w:tcPr>
          <w:p w14:paraId="5E45E963">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3</w:t>
            </w:r>
          </w:p>
        </w:tc>
        <w:tc>
          <w:tcPr>
            <w:tcW w:w="1689" w:type="dxa"/>
            <w:tcBorders>
              <w:left w:val="single" w:color="000000" w:sz="4" w:space="0"/>
              <w:bottom w:val="single" w:color="000000" w:sz="4" w:space="0"/>
            </w:tcBorders>
          </w:tcPr>
          <w:p w14:paraId="0BE9FE4D">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3</w:t>
            </w:r>
          </w:p>
        </w:tc>
        <w:tc>
          <w:tcPr>
            <w:tcW w:w="1509" w:type="dxa"/>
            <w:tcBorders>
              <w:left w:val="single" w:color="000000" w:sz="4" w:space="0"/>
              <w:bottom w:val="single" w:color="000000" w:sz="4" w:space="0"/>
            </w:tcBorders>
          </w:tcPr>
          <w:p w14:paraId="330B9DD7">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2</w:t>
            </w:r>
          </w:p>
        </w:tc>
        <w:tc>
          <w:tcPr>
            <w:tcW w:w="1710" w:type="dxa"/>
            <w:tcBorders>
              <w:left w:val="single" w:color="000000" w:sz="4" w:space="0"/>
              <w:bottom w:val="single" w:color="000000" w:sz="4" w:space="0"/>
            </w:tcBorders>
          </w:tcPr>
          <w:p w14:paraId="46B9A15B">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1</w:t>
            </w:r>
          </w:p>
        </w:tc>
        <w:tc>
          <w:tcPr>
            <w:tcW w:w="1981" w:type="dxa"/>
            <w:tcBorders>
              <w:left w:val="single" w:color="000000" w:sz="4" w:space="0"/>
              <w:bottom w:val="single" w:color="000000" w:sz="4" w:space="0"/>
              <w:right w:val="single" w:color="000000" w:sz="4" w:space="0"/>
            </w:tcBorders>
          </w:tcPr>
          <w:p w14:paraId="38045D5C">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rPr>
              <w:t>0</w:t>
            </w:r>
          </w:p>
        </w:tc>
      </w:tr>
    </w:tbl>
    <w:p w14:paraId="332294CC">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rPr>
        <w:t>Форми оцінювання включають: поточне оцінювання практичної роботи; поточне оцінювання засвоєння знань на основі усних відповідей, доповідей, презентацій та інших форм участі під час практичних (семінарських) занять; індивідуальні або групові проекти, що вимагають розвитку практичних навичок і компетентностей (опціональний формат); вирішення ситуаційних завдань; підготовка резюме з самостійно вивчених тем; тестування або письмові іспити; підготовка проектів статей, тез конференцій та інших публікацій; інші форми, що забезпечують всебічне засвоєння навчальної програми та сприяють поступовому розвитку навичок для ефективної самостійної професійної (практичної, наукової та теоретичної) діяльності на високому рівні.</w:t>
      </w:r>
    </w:p>
    <w:p w14:paraId="36DAA1C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iCs/>
          <w:color w:val="000000"/>
          <w:sz w:val="24"/>
          <w:szCs w:val="24"/>
        </w:rPr>
      </w:pPr>
    </w:p>
    <w:p w14:paraId="0E28DCE7">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bCs/>
          <w:color w:val="000000"/>
          <w:sz w:val="24"/>
          <w:szCs w:val="24"/>
          <w:lang w:val="uk-UA"/>
        </w:rPr>
      </w:pPr>
      <w:r>
        <w:rPr>
          <w:color w:val="000000"/>
          <w:sz w:val="24"/>
          <w:szCs w:val="24"/>
          <w:lang w:val="uk-UA"/>
        </w:rPr>
        <w:t>Для оцінювання результатів навчання здобувача вищої освіти впродовж семестру застосовується 100-бальна, національна та шкала ЄКТС оцінювання</w:t>
      </w:r>
    </w:p>
    <w:p w14:paraId="63DC947E">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color w:val="000000"/>
          <w:sz w:val="24"/>
          <w:szCs w:val="24"/>
          <w:lang w:val="uk-UA"/>
        </w:rPr>
      </w:pPr>
      <w:r>
        <w:rPr>
          <w:b/>
          <w:bCs/>
          <w:color w:val="000000"/>
          <w:sz w:val="24"/>
          <w:szCs w:val="24"/>
          <w:lang w:val="uk-UA"/>
        </w:rPr>
        <w:t>Шкала підсумкового оцінювання: національна та ECTS</w:t>
      </w:r>
    </w:p>
    <w:tbl>
      <w:tblPr>
        <w:tblStyle w:val="9"/>
        <w:tblW w:w="0" w:type="auto"/>
        <w:tblInd w:w="0" w:type="dxa"/>
        <w:tblLayout w:type="fixed"/>
        <w:tblCellMar>
          <w:top w:w="0" w:type="dxa"/>
          <w:left w:w="0" w:type="dxa"/>
          <w:bottom w:w="0" w:type="dxa"/>
          <w:right w:w="0" w:type="dxa"/>
        </w:tblCellMar>
      </w:tblPr>
      <w:tblGrid>
        <w:gridCol w:w="2147"/>
        <w:gridCol w:w="1363"/>
        <w:gridCol w:w="3581"/>
        <w:gridCol w:w="3204"/>
      </w:tblGrid>
      <w:tr w14:paraId="493BFEE6">
        <w:tblPrEx>
          <w:tblCellMar>
            <w:top w:w="0" w:type="dxa"/>
            <w:left w:w="0" w:type="dxa"/>
            <w:bottom w:w="0" w:type="dxa"/>
            <w:right w:w="0" w:type="dxa"/>
          </w:tblCellMar>
        </w:tblPrEx>
        <w:trPr>
          <w:trHeight w:val="850" w:hRule="exact"/>
        </w:trPr>
        <w:tc>
          <w:tcPr>
            <w:tcW w:w="2147" w:type="dxa"/>
            <w:vMerge w:val="restart"/>
            <w:tcBorders>
              <w:top w:val="single" w:color="000000" w:sz="4" w:space="0"/>
              <w:left w:val="single" w:color="000000" w:sz="4" w:space="0"/>
            </w:tcBorders>
            <w:shd w:val="clear" w:color="auto" w:fill="FFFFFF"/>
          </w:tcPr>
          <w:p w14:paraId="67499043">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b/>
                <w:color w:val="000000"/>
                <w:sz w:val="24"/>
                <w:szCs w:val="24"/>
                <w:lang w:val="uk-UA"/>
              </w:rPr>
              <w:t>Сума балів за всі види навчальної діяльності</w:t>
            </w:r>
          </w:p>
        </w:tc>
        <w:tc>
          <w:tcPr>
            <w:tcW w:w="1363" w:type="dxa"/>
            <w:vMerge w:val="restart"/>
            <w:tcBorders>
              <w:top w:val="single" w:color="000000" w:sz="4" w:space="0"/>
              <w:left w:val="single" w:color="000000" w:sz="4" w:space="0"/>
            </w:tcBorders>
            <w:shd w:val="clear" w:color="auto" w:fill="FFFFFF"/>
          </w:tcPr>
          <w:p w14:paraId="671204C7">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b/>
                <w:color w:val="000000"/>
                <w:sz w:val="24"/>
                <w:szCs w:val="24"/>
                <w:lang w:val="uk-UA"/>
              </w:rPr>
              <w:t>Оцінка ЕСТ8</w:t>
            </w:r>
          </w:p>
        </w:tc>
        <w:tc>
          <w:tcPr>
            <w:tcW w:w="6785" w:type="dxa"/>
            <w:gridSpan w:val="2"/>
            <w:tcBorders>
              <w:top w:val="single" w:color="000000" w:sz="4" w:space="0"/>
              <w:left w:val="single" w:color="000000" w:sz="4" w:space="0"/>
              <w:right w:val="single" w:color="000000" w:sz="4" w:space="0"/>
            </w:tcBorders>
            <w:shd w:val="clear" w:color="auto" w:fill="FFFFFF"/>
          </w:tcPr>
          <w:p w14:paraId="2B462AE3">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b/>
                <w:color w:val="000000"/>
                <w:sz w:val="24"/>
                <w:szCs w:val="24"/>
                <w:lang w:val="uk-UA"/>
              </w:rPr>
              <w:t>Оцінка за національною шкалою</w:t>
            </w:r>
          </w:p>
        </w:tc>
      </w:tr>
      <w:tr w14:paraId="0E7A95E0">
        <w:tblPrEx>
          <w:tblCellMar>
            <w:top w:w="0" w:type="dxa"/>
            <w:left w:w="0" w:type="dxa"/>
            <w:bottom w:w="0" w:type="dxa"/>
            <w:right w:w="0" w:type="dxa"/>
          </w:tblCellMar>
        </w:tblPrEx>
        <w:trPr>
          <w:trHeight w:val="581" w:hRule="exact"/>
        </w:trPr>
        <w:tc>
          <w:tcPr>
            <w:tcW w:w="2147" w:type="dxa"/>
            <w:vMerge w:val="continue"/>
            <w:tcBorders>
              <w:top w:val="single" w:color="000000" w:sz="4" w:space="0"/>
              <w:left w:val="single" w:color="000000" w:sz="4" w:space="0"/>
            </w:tcBorders>
            <w:shd w:val="clear" w:color="auto" w:fill="FFFFFF"/>
          </w:tcPr>
          <w:p w14:paraId="29A1EB50">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color w:val="000000"/>
                <w:sz w:val="24"/>
                <w:szCs w:val="24"/>
                <w:lang w:val="uk-UA"/>
              </w:rPr>
            </w:pPr>
          </w:p>
        </w:tc>
        <w:tc>
          <w:tcPr>
            <w:tcW w:w="1363" w:type="dxa"/>
            <w:vMerge w:val="continue"/>
            <w:tcBorders>
              <w:top w:val="single" w:color="000000" w:sz="4" w:space="0"/>
              <w:left w:val="single" w:color="000000" w:sz="4" w:space="0"/>
            </w:tcBorders>
            <w:shd w:val="clear" w:color="auto" w:fill="FFFFFF"/>
          </w:tcPr>
          <w:p w14:paraId="3EA2EEA0">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color w:val="000000"/>
                <w:sz w:val="24"/>
                <w:szCs w:val="24"/>
                <w:lang w:val="uk-UA"/>
              </w:rPr>
            </w:pPr>
          </w:p>
        </w:tc>
        <w:tc>
          <w:tcPr>
            <w:tcW w:w="3581" w:type="dxa"/>
            <w:tcBorders>
              <w:top w:val="single" w:color="000000" w:sz="4" w:space="0"/>
              <w:left w:val="single" w:color="000000" w:sz="4" w:space="0"/>
            </w:tcBorders>
            <w:shd w:val="clear" w:color="auto" w:fill="FFFFFF"/>
          </w:tcPr>
          <w:p w14:paraId="68ED89D6">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b/>
                <w:color w:val="000000"/>
                <w:sz w:val="24"/>
                <w:szCs w:val="24"/>
                <w:lang w:val="uk-UA"/>
              </w:rPr>
              <w:t>для екзамену, курсового проекту (роботи), практики</w:t>
            </w:r>
          </w:p>
        </w:tc>
        <w:tc>
          <w:tcPr>
            <w:tcW w:w="3204" w:type="dxa"/>
            <w:tcBorders>
              <w:top w:val="single" w:color="000000" w:sz="4" w:space="0"/>
              <w:left w:val="single" w:color="000000" w:sz="4" w:space="0"/>
              <w:right w:val="single" w:color="000000" w:sz="4" w:space="0"/>
            </w:tcBorders>
            <w:shd w:val="clear" w:color="auto" w:fill="FFFFFF"/>
          </w:tcPr>
          <w:p w14:paraId="356E677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b/>
                <w:color w:val="000000"/>
                <w:sz w:val="24"/>
                <w:szCs w:val="24"/>
                <w:lang w:val="uk-UA"/>
              </w:rPr>
              <w:t>для заліку</w:t>
            </w:r>
          </w:p>
        </w:tc>
      </w:tr>
      <w:tr w14:paraId="4AF1940A">
        <w:tblPrEx>
          <w:tblCellMar>
            <w:top w:w="0" w:type="dxa"/>
            <w:left w:w="0" w:type="dxa"/>
            <w:bottom w:w="0" w:type="dxa"/>
            <w:right w:w="0" w:type="dxa"/>
          </w:tblCellMar>
        </w:tblPrEx>
        <w:trPr>
          <w:trHeight w:val="362" w:hRule="exact"/>
        </w:trPr>
        <w:tc>
          <w:tcPr>
            <w:tcW w:w="2147" w:type="dxa"/>
            <w:tcBorders>
              <w:top w:val="single" w:color="000000" w:sz="4" w:space="0"/>
              <w:left w:val="single" w:color="000000" w:sz="4" w:space="0"/>
            </w:tcBorders>
            <w:shd w:val="clear" w:color="auto" w:fill="FFFFFF"/>
          </w:tcPr>
          <w:p w14:paraId="61FBE75E">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90 – 100</w:t>
            </w:r>
          </w:p>
        </w:tc>
        <w:tc>
          <w:tcPr>
            <w:tcW w:w="1363" w:type="dxa"/>
            <w:tcBorders>
              <w:top w:val="single" w:color="000000" w:sz="4" w:space="0"/>
              <w:left w:val="single" w:color="000000" w:sz="4" w:space="0"/>
            </w:tcBorders>
            <w:shd w:val="clear" w:color="auto" w:fill="FFFFFF"/>
          </w:tcPr>
          <w:p w14:paraId="323ABE36">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А</w:t>
            </w:r>
          </w:p>
        </w:tc>
        <w:tc>
          <w:tcPr>
            <w:tcW w:w="3581" w:type="dxa"/>
            <w:tcBorders>
              <w:top w:val="single" w:color="000000" w:sz="4" w:space="0"/>
              <w:left w:val="single" w:color="000000" w:sz="4" w:space="0"/>
            </w:tcBorders>
            <w:shd w:val="clear" w:color="auto" w:fill="FFFFFF"/>
          </w:tcPr>
          <w:p w14:paraId="41EFE36D">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відмінно</w:t>
            </w:r>
          </w:p>
        </w:tc>
        <w:tc>
          <w:tcPr>
            <w:tcW w:w="3204" w:type="dxa"/>
            <w:vMerge w:val="restart"/>
            <w:tcBorders>
              <w:top w:val="single" w:color="000000" w:sz="4" w:space="0"/>
              <w:left w:val="single" w:color="000000" w:sz="4" w:space="0"/>
              <w:right w:val="single" w:color="000000" w:sz="4" w:space="0"/>
            </w:tcBorders>
            <w:shd w:val="clear" w:color="auto" w:fill="FFFFFF"/>
          </w:tcPr>
          <w:p w14:paraId="52C13D91">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Зараховано</w:t>
            </w:r>
          </w:p>
        </w:tc>
      </w:tr>
      <w:tr w14:paraId="1C7CE036">
        <w:tblPrEx>
          <w:tblCellMar>
            <w:top w:w="0" w:type="dxa"/>
            <w:left w:w="0" w:type="dxa"/>
            <w:bottom w:w="0" w:type="dxa"/>
            <w:right w:w="0" w:type="dxa"/>
          </w:tblCellMar>
        </w:tblPrEx>
        <w:trPr>
          <w:trHeight w:val="357" w:hRule="exact"/>
        </w:trPr>
        <w:tc>
          <w:tcPr>
            <w:tcW w:w="2147" w:type="dxa"/>
            <w:tcBorders>
              <w:top w:val="single" w:color="000000" w:sz="4" w:space="0"/>
              <w:left w:val="single" w:color="000000" w:sz="4" w:space="0"/>
            </w:tcBorders>
            <w:shd w:val="clear" w:color="auto" w:fill="FFFFFF"/>
          </w:tcPr>
          <w:p w14:paraId="5ADB1F97">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82 – 89</w:t>
            </w:r>
          </w:p>
        </w:tc>
        <w:tc>
          <w:tcPr>
            <w:tcW w:w="1363" w:type="dxa"/>
            <w:tcBorders>
              <w:top w:val="single" w:color="000000" w:sz="4" w:space="0"/>
              <w:left w:val="single" w:color="000000" w:sz="4" w:space="0"/>
            </w:tcBorders>
            <w:shd w:val="clear" w:color="auto" w:fill="FFFFFF"/>
          </w:tcPr>
          <w:p w14:paraId="19F284D0">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В</w:t>
            </w:r>
          </w:p>
        </w:tc>
        <w:tc>
          <w:tcPr>
            <w:tcW w:w="3581" w:type="dxa"/>
            <w:vMerge w:val="restart"/>
            <w:tcBorders>
              <w:top w:val="single" w:color="000000" w:sz="4" w:space="0"/>
              <w:left w:val="single" w:color="000000" w:sz="4" w:space="0"/>
            </w:tcBorders>
            <w:shd w:val="clear" w:color="auto" w:fill="FFFFFF"/>
          </w:tcPr>
          <w:p w14:paraId="352631C9">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добре</w:t>
            </w:r>
          </w:p>
        </w:tc>
        <w:tc>
          <w:tcPr>
            <w:tcW w:w="3204" w:type="dxa"/>
            <w:vMerge w:val="continue"/>
            <w:tcBorders>
              <w:top w:val="single" w:color="000000" w:sz="4" w:space="0"/>
              <w:left w:val="single" w:color="000000" w:sz="4" w:space="0"/>
              <w:right w:val="single" w:color="000000" w:sz="4" w:space="0"/>
            </w:tcBorders>
            <w:shd w:val="clear" w:color="auto" w:fill="FFFFFF"/>
          </w:tcPr>
          <w:p w14:paraId="41CA066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p>
        </w:tc>
      </w:tr>
      <w:tr w14:paraId="6632B614">
        <w:tblPrEx>
          <w:tblCellMar>
            <w:top w:w="0" w:type="dxa"/>
            <w:left w:w="0" w:type="dxa"/>
            <w:bottom w:w="0" w:type="dxa"/>
            <w:right w:w="0" w:type="dxa"/>
          </w:tblCellMar>
        </w:tblPrEx>
        <w:trPr>
          <w:trHeight w:val="353" w:hRule="exact"/>
        </w:trPr>
        <w:tc>
          <w:tcPr>
            <w:tcW w:w="2147" w:type="dxa"/>
            <w:tcBorders>
              <w:top w:val="single" w:color="000000" w:sz="4" w:space="0"/>
              <w:left w:val="single" w:color="000000" w:sz="4" w:space="0"/>
            </w:tcBorders>
            <w:shd w:val="clear" w:color="auto" w:fill="FFFFFF"/>
          </w:tcPr>
          <w:p w14:paraId="5810F969">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75 – 81</w:t>
            </w:r>
          </w:p>
        </w:tc>
        <w:tc>
          <w:tcPr>
            <w:tcW w:w="1363" w:type="dxa"/>
            <w:tcBorders>
              <w:top w:val="single" w:color="000000" w:sz="4" w:space="0"/>
              <w:left w:val="single" w:color="000000" w:sz="4" w:space="0"/>
            </w:tcBorders>
            <w:shd w:val="clear" w:color="auto" w:fill="FFFFFF"/>
          </w:tcPr>
          <w:p w14:paraId="21F3F4F0">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С</w:t>
            </w:r>
          </w:p>
        </w:tc>
        <w:tc>
          <w:tcPr>
            <w:tcW w:w="3581" w:type="dxa"/>
            <w:vMerge w:val="continue"/>
            <w:tcBorders>
              <w:top w:val="single" w:color="000000" w:sz="4" w:space="0"/>
              <w:left w:val="single" w:color="000000" w:sz="4" w:space="0"/>
            </w:tcBorders>
            <w:shd w:val="clear" w:color="auto" w:fill="FFFFFF"/>
          </w:tcPr>
          <w:p w14:paraId="46E4A03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p>
        </w:tc>
        <w:tc>
          <w:tcPr>
            <w:tcW w:w="3204" w:type="dxa"/>
            <w:vMerge w:val="continue"/>
            <w:tcBorders>
              <w:top w:val="single" w:color="000000" w:sz="4" w:space="0"/>
              <w:left w:val="single" w:color="000000" w:sz="4" w:space="0"/>
              <w:right w:val="single" w:color="000000" w:sz="4" w:space="0"/>
            </w:tcBorders>
            <w:shd w:val="clear" w:color="auto" w:fill="FFFFFF"/>
          </w:tcPr>
          <w:p w14:paraId="44B766A3">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p>
        </w:tc>
      </w:tr>
      <w:tr w14:paraId="7E01AD76">
        <w:tblPrEx>
          <w:tblCellMar>
            <w:top w:w="0" w:type="dxa"/>
            <w:left w:w="0" w:type="dxa"/>
            <w:bottom w:w="0" w:type="dxa"/>
            <w:right w:w="0" w:type="dxa"/>
          </w:tblCellMar>
        </w:tblPrEx>
        <w:trPr>
          <w:trHeight w:val="364" w:hRule="exact"/>
        </w:trPr>
        <w:tc>
          <w:tcPr>
            <w:tcW w:w="2147" w:type="dxa"/>
            <w:tcBorders>
              <w:top w:val="single" w:color="000000" w:sz="4" w:space="0"/>
              <w:left w:val="single" w:color="000000" w:sz="4" w:space="0"/>
            </w:tcBorders>
            <w:shd w:val="clear" w:color="auto" w:fill="FFFFFF"/>
          </w:tcPr>
          <w:p w14:paraId="1AFECAA4">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68 – 74</w:t>
            </w:r>
          </w:p>
        </w:tc>
        <w:tc>
          <w:tcPr>
            <w:tcW w:w="1363" w:type="dxa"/>
            <w:tcBorders>
              <w:top w:val="single" w:color="000000" w:sz="4" w:space="0"/>
              <w:left w:val="single" w:color="000000" w:sz="4" w:space="0"/>
            </w:tcBorders>
            <w:shd w:val="clear" w:color="auto" w:fill="FFFFFF"/>
          </w:tcPr>
          <w:p w14:paraId="55A829E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D</w:t>
            </w:r>
          </w:p>
        </w:tc>
        <w:tc>
          <w:tcPr>
            <w:tcW w:w="3581" w:type="dxa"/>
            <w:vMerge w:val="restart"/>
            <w:tcBorders>
              <w:top w:val="single" w:color="000000" w:sz="4" w:space="0"/>
              <w:left w:val="single" w:color="000000" w:sz="4" w:space="0"/>
            </w:tcBorders>
            <w:shd w:val="clear" w:color="auto" w:fill="FFFFFF"/>
          </w:tcPr>
          <w:p w14:paraId="53A366A7">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задовільно</w:t>
            </w:r>
          </w:p>
        </w:tc>
        <w:tc>
          <w:tcPr>
            <w:tcW w:w="3204" w:type="dxa"/>
            <w:vMerge w:val="continue"/>
            <w:tcBorders>
              <w:top w:val="single" w:color="000000" w:sz="4" w:space="0"/>
              <w:left w:val="single" w:color="000000" w:sz="4" w:space="0"/>
              <w:right w:val="single" w:color="000000" w:sz="4" w:space="0"/>
            </w:tcBorders>
            <w:shd w:val="clear" w:color="auto" w:fill="FFFFFF"/>
          </w:tcPr>
          <w:p w14:paraId="43C59559">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p>
        </w:tc>
      </w:tr>
      <w:tr w14:paraId="1CB93E39">
        <w:tblPrEx>
          <w:tblCellMar>
            <w:top w:w="0" w:type="dxa"/>
            <w:left w:w="0" w:type="dxa"/>
            <w:bottom w:w="0" w:type="dxa"/>
            <w:right w:w="0" w:type="dxa"/>
          </w:tblCellMar>
        </w:tblPrEx>
        <w:trPr>
          <w:trHeight w:val="344" w:hRule="exact"/>
        </w:trPr>
        <w:tc>
          <w:tcPr>
            <w:tcW w:w="2147" w:type="dxa"/>
            <w:tcBorders>
              <w:top w:val="single" w:color="000000" w:sz="4" w:space="0"/>
              <w:left w:val="single" w:color="000000" w:sz="4" w:space="0"/>
            </w:tcBorders>
            <w:shd w:val="clear" w:color="auto" w:fill="FFFFFF"/>
          </w:tcPr>
          <w:p w14:paraId="3068C5EF">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60 – 67</w:t>
            </w:r>
          </w:p>
        </w:tc>
        <w:tc>
          <w:tcPr>
            <w:tcW w:w="1363" w:type="dxa"/>
            <w:tcBorders>
              <w:top w:val="single" w:color="000000" w:sz="4" w:space="0"/>
              <w:left w:val="single" w:color="000000" w:sz="4" w:space="0"/>
            </w:tcBorders>
            <w:shd w:val="clear" w:color="auto" w:fill="FFFFFF"/>
          </w:tcPr>
          <w:p w14:paraId="255A4124">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Е</w:t>
            </w:r>
          </w:p>
        </w:tc>
        <w:tc>
          <w:tcPr>
            <w:tcW w:w="3581" w:type="dxa"/>
            <w:vMerge w:val="continue"/>
            <w:tcBorders>
              <w:top w:val="single" w:color="000000" w:sz="4" w:space="0"/>
              <w:left w:val="single" w:color="000000" w:sz="4" w:space="0"/>
            </w:tcBorders>
            <w:shd w:val="clear" w:color="auto" w:fill="FFFFFF"/>
          </w:tcPr>
          <w:p w14:paraId="463D276C">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p>
        </w:tc>
        <w:tc>
          <w:tcPr>
            <w:tcW w:w="3204" w:type="dxa"/>
            <w:vMerge w:val="continue"/>
            <w:tcBorders>
              <w:top w:val="single" w:color="000000" w:sz="4" w:space="0"/>
              <w:left w:val="single" w:color="000000" w:sz="4" w:space="0"/>
              <w:right w:val="single" w:color="000000" w:sz="4" w:space="0"/>
            </w:tcBorders>
            <w:shd w:val="clear" w:color="auto" w:fill="FFFFFF"/>
          </w:tcPr>
          <w:p w14:paraId="29FACE15">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p>
        </w:tc>
      </w:tr>
      <w:tr w14:paraId="2C5282DC">
        <w:tblPrEx>
          <w:tblCellMar>
            <w:top w:w="0" w:type="dxa"/>
            <w:left w:w="0" w:type="dxa"/>
            <w:bottom w:w="0" w:type="dxa"/>
            <w:right w:w="0" w:type="dxa"/>
          </w:tblCellMar>
        </w:tblPrEx>
        <w:trPr>
          <w:trHeight w:val="608" w:hRule="exact"/>
        </w:trPr>
        <w:tc>
          <w:tcPr>
            <w:tcW w:w="2147" w:type="dxa"/>
            <w:tcBorders>
              <w:top w:val="single" w:color="000000" w:sz="4" w:space="0"/>
              <w:left w:val="single" w:color="000000" w:sz="4" w:space="0"/>
            </w:tcBorders>
            <w:shd w:val="clear" w:color="auto" w:fill="FFFFFF"/>
          </w:tcPr>
          <w:p w14:paraId="15B6D817">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35 – 59</w:t>
            </w:r>
          </w:p>
        </w:tc>
        <w:tc>
          <w:tcPr>
            <w:tcW w:w="1363" w:type="dxa"/>
            <w:tcBorders>
              <w:top w:val="single" w:color="000000" w:sz="4" w:space="0"/>
              <w:left w:val="single" w:color="000000" w:sz="4" w:space="0"/>
            </w:tcBorders>
            <w:shd w:val="clear" w:color="auto" w:fill="FFFFFF"/>
          </w:tcPr>
          <w:p w14:paraId="108A3E5C">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FХ</w:t>
            </w:r>
          </w:p>
        </w:tc>
        <w:tc>
          <w:tcPr>
            <w:tcW w:w="3581" w:type="dxa"/>
            <w:tcBorders>
              <w:top w:val="single" w:color="000000" w:sz="4" w:space="0"/>
              <w:left w:val="single" w:color="000000" w:sz="4" w:space="0"/>
            </w:tcBorders>
            <w:shd w:val="clear" w:color="auto" w:fill="FFFFFF"/>
          </w:tcPr>
          <w:p w14:paraId="11A91B95">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незадовільно з можливістю повторного складання</w:t>
            </w:r>
          </w:p>
        </w:tc>
        <w:tc>
          <w:tcPr>
            <w:tcW w:w="3204" w:type="dxa"/>
            <w:tcBorders>
              <w:top w:val="single" w:color="000000" w:sz="4" w:space="0"/>
              <w:left w:val="single" w:color="000000" w:sz="4" w:space="0"/>
              <w:right w:val="single" w:color="000000" w:sz="4" w:space="0"/>
            </w:tcBorders>
            <w:shd w:val="clear" w:color="auto" w:fill="FFFFFF"/>
          </w:tcPr>
          <w:p w14:paraId="4B8B5D5A">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не зараховано з можливістю повторного складання</w:t>
            </w:r>
          </w:p>
        </w:tc>
      </w:tr>
      <w:tr w14:paraId="61298850">
        <w:tblPrEx>
          <w:tblCellMar>
            <w:top w:w="0" w:type="dxa"/>
            <w:left w:w="0" w:type="dxa"/>
            <w:bottom w:w="0" w:type="dxa"/>
            <w:right w:w="0" w:type="dxa"/>
          </w:tblCellMar>
        </w:tblPrEx>
        <w:trPr>
          <w:trHeight w:val="876" w:hRule="exact"/>
        </w:trPr>
        <w:tc>
          <w:tcPr>
            <w:tcW w:w="2147" w:type="dxa"/>
            <w:tcBorders>
              <w:top w:val="single" w:color="000000" w:sz="4" w:space="0"/>
              <w:left w:val="single" w:color="000000" w:sz="4" w:space="0"/>
              <w:bottom w:val="single" w:color="000000" w:sz="4" w:space="0"/>
            </w:tcBorders>
            <w:shd w:val="clear" w:color="auto" w:fill="FFFFFF"/>
          </w:tcPr>
          <w:p w14:paraId="2A193629">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0 – 34</w:t>
            </w:r>
          </w:p>
        </w:tc>
        <w:tc>
          <w:tcPr>
            <w:tcW w:w="1363" w:type="dxa"/>
            <w:tcBorders>
              <w:top w:val="single" w:color="000000" w:sz="4" w:space="0"/>
              <w:left w:val="single" w:color="000000" w:sz="4" w:space="0"/>
              <w:bottom w:val="single" w:color="000000" w:sz="4" w:space="0"/>
            </w:tcBorders>
            <w:shd w:val="clear" w:color="auto" w:fill="FFFFFF"/>
          </w:tcPr>
          <w:p w14:paraId="505AE32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F</w:t>
            </w:r>
          </w:p>
        </w:tc>
        <w:tc>
          <w:tcPr>
            <w:tcW w:w="3581" w:type="dxa"/>
            <w:tcBorders>
              <w:top w:val="single" w:color="000000" w:sz="4" w:space="0"/>
              <w:left w:val="single" w:color="000000" w:sz="4" w:space="0"/>
              <w:bottom w:val="single" w:color="000000" w:sz="4" w:space="0"/>
            </w:tcBorders>
            <w:shd w:val="clear" w:color="auto" w:fill="FFFFFF"/>
          </w:tcPr>
          <w:p w14:paraId="7B5DFCBE">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незадовільно з обов’язковим повторним вивченням дисципліни</w:t>
            </w:r>
          </w:p>
        </w:tc>
        <w:tc>
          <w:tcPr>
            <w:tcW w:w="3204" w:type="dxa"/>
            <w:tcBorders>
              <w:top w:val="single" w:color="000000" w:sz="4" w:space="0"/>
              <w:left w:val="single" w:color="000000" w:sz="4" w:space="0"/>
              <w:bottom w:val="single" w:color="000000" w:sz="4" w:space="0"/>
              <w:right w:val="single" w:color="000000" w:sz="4" w:space="0"/>
            </w:tcBorders>
            <w:shd w:val="clear" w:color="auto" w:fill="FFFFFF"/>
          </w:tcPr>
          <w:p w14:paraId="4DDA0068">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color w:val="000000"/>
                <w:sz w:val="24"/>
                <w:szCs w:val="24"/>
                <w:lang w:val="uk-UA"/>
              </w:rPr>
              <w:t>не зараховано з обов’язковим повторним вивченням дисципліни</w:t>
            </w:r>
          </w:p>
        </w:tc>
      </w:tr>
    </w:tbl>
    <w:p w14:paraId="54A49270">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b/>
          <w:bCs/>
          <w:color w:val="000000"/>
          <w:sz w:val="24"/>
          <w:szCs w:val="24"/>
          <w:lang w:val="uk-UA"/>
        </w:rPr>
      </w:pPr>
    </w:p>
    <w:p w14:paraId="26777B45">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b/>
          <w:bCs/>
          <w:color w:val="000000"/>
          <w:sz w:val="24"/>
          <w:szCs w:val="24"/>
          <w:lang w:val="uk-UA"/>
        </w:rPr>
        <w:t xml:space="preserve">Політика курсу. </w:t>
      </w:r>
    </w:p>
    <w:p w14:paraId="45B3D6DE">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Для успішного засвоєння курсу «Ціноутворення» здобувач освіти має:</w:t>
      </w:r>
    </w:p>
    <w:p w14:paraId="3C8D4D1C">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регулярно відвідувати лекційні та практичні заняття;</w:t>
      </w:r>
    </w:p>
    <w:p w14:paraId="57E1A53A">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систематично, системно й активно працювати на лекційних і практичних заняттях;</w:t>
      </w:r>
    </w:p>
    <w:p w14:paraId="10C041F8">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відпрацьовувати пропущені заняття або незадовільні оцінки, отримані на заняттях;</w:t>
      </w:r>
    </w:p>
    <w:p w14:paraId="3FF53267">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виконувати у повному обсязі завдання, які вимагає підготувати викладач, належна їх якість;</w:t>
      </w:r>
    </w:p>
    <w:p w14:paraId="52F8D0E8">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виконувати контрольні та інші самостійні роботи;</w:t>
      </w:r>
    </w:p>
    <w:p w14:paraId="729F5AFF">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 дотримуватися норм академічної поведінки та етики.</w:t>
      </w:r>
    </w:p>
    <w:p w14:paraId="3DB6F1B3">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lang w:val="uk-UA"/>
        </w:rPr>
      </w:pPr>
      <w:r>
        <w:rPr>
          <w:color w:val="000000"/>
          <w:sz w:val="24"/>
          <w:szCs w:val="24"/>
          <w:lang w:val="uk-UA"/>
        </w:rPr>
        <w:t>Курс «Ціноутворення» передбачає засвоєння та дотримання принципів етики та академічної доброчесності, зокрема орієнтації на запобігання плагіату у будь-яких його проявах: всі роботи, доповіді, есе, реферати та презентації мають бути оригінальними та авторськими, не переобтяженими цитатами, що мають супроводжуватися посиланнями на першоджерела.  Порушеннями академічної доброчесності вважаються: академічний плагіат, самоплагіат, фабрикація, фальсифікація, списування, обман, хабарництво, необ’єктивне оцінювання.</w:t>
      </w:r>
    </w:p>
    <w:p w14:paraId="0F44F3FB">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lang w:val="uk-UA"/>
        </w:rPr>
      </w:pPr>
    </w:p>
    <w:p w14:paraId="66BA7F52">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FF0000"/>
          <w:sz w:val="24"/>
          <w:szCs w:val="24"/>
        </w:rPr>
      </w:pPr>
      <w:r>
        <w:rPr>
          <w:b/>
          <w:bCs/>
          <w:color w:val="000000"/>
          <w:sz w:val="24"/>
          <w:szCs w:val="24"/>
        </w:rPr>
        <w:t>Рекомендовані джерела інформації.</w:t>
      </w:r>
    </w:p>
    <w:p w14:paraId="086996EA">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color w:val="000000"/>
          <w:sz w:val="24"/>
          <w:szCs w:val="24"/>
        </w:rPr>
      </w:pPr>
      <w:r>
        <w:rPr>
          <w:b/>
          <w:bCs/>
          <w:i/>
          <w:iCs/>
          <w:color w:val="000000"/>
          <w:sz w:val="24"/>
          <w:szCs w:val="24"/>
        </w:rPr>
        <w:t>Основна література:</w:t>
      </w:r>
    </w:p>
    <w:p w14:paraId="2B105694">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rPr>
      </w:pPr>
      <w:r>
        <w:rPr>
          <w:sz w:val="24"/>
          <w:szCs w:val="24"/>
        </w:rPr>
        <w:t xml:space="preserve">1. Березін О. В., Карпенко Ю. В. Ціноутворення в туристичному бізнесі: навч. посіб. - Суми: Університетська книга, 2016. - 168 с. </w:t>
      </w:r>
    </w:p>
    <w:p w14:paraId="5A6DFA90">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rPr>
      </w:pPr>
      <w:r>
        <w:rPr>
          <w:sz w:val="24"/>
          <w:szCs w:val="24"/>
        </w:rPr>
        <w:t>2. Березін О.В. Управління ціноутворенням: навч. посіб. для студ. вищ. навч. закл. / О. В. Березін, Ю. В. Карпенко. Суми: Університетська книга, 2012. – 175 с.</w:t>
      </w:r>
    </w:p>
    <w:p w14:paraId="7D8B87CB">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rPr>
      </w:pPr>
      <w:r>
        <w:rPr>
          <w:sz w:val="24"/>
          <w:szCs w:val="24"/>
        </w:rPr>
        <w:t xml:space="preserve"> 3. Колесников О.В. Ціноутворення : навч. посіб. [3-те вид., виправл. та доповн.] К.: «ЦУЛ», 2016. 159 с. </w:t>
      </w:r>
    </w:p>
    <w:p w14:paraId="2F8BDCDB">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rPr>
      </w:pPr>
      <w:r>
        <w:rPr>
          <w:sz w:val="24"/>
          <w:szCs w:val="24"/>
        </w:rPr>
        <w:t xml:space="preserve">4. Колесников О.В. Ціноутворення: Навч. посіб. - 2-ге вид., випр. та доп. - К.: ЦНЛ, 2006. - 144 с. </w:t>
      </w:r>
    </w:p>
    <w:p w14:paraId="00F82D1C">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rPr>
      </w:pPr>
      <w:r>
        <w:rPr>
          <w:sz w:val="24"/>
          <w:szCs w:val="24"/>
        </w:rPr>
        <w:t xml:space="preserve">5. Колесников О.В. Ціноутворення: навч. посіб./ Колесников О.В. - 3-е вид., випр. та доп. - К.: ЦУЛ, 2007. - 144 с. </w:t>
      </w:r>
    </w:p>
    <w:p w14:paraId="686BD7A7">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rPr>
      </w:pPr>
      <w:r>
        <w:rPr>
          <w:sz w:val="24"/>
          <w:szCs w:val="24"/>
        </w:rPr>
        <w:t xml:space="preserve">6. Круш П.В. Ціноутворення: підручник для студ. спеціальності 051 «Економіка» / П.В. Круш, О.І. Андрусь – Київ: КПІ ім. Ігоря Сікорського, 2019. – 292 с. </w:t>
      </w:r>
    </w:p>
    <w:p w14:paraId="67061FE6">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rPr>
      </w:pPr>
      <w:r>
        <w:rPr>
          <w:sz w:val="24"/>
          <w:szCs w:val="24"/>
        </w:rPr>
        <w:t>7. Лисак О.І., Андрєєва Л.О., Завадських Г.М. Ціноутворення: курс лекцій. – Мелітополь: 2020. – 193 с.</w:t>
      </w:r>
    </w:p>
    <w:p w14:paraId="2C8725A7">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rPr>
      </w:pPr>
      <w:r>
        <w:rPr>
          <w:sz w:val="24"/>
          <w:szCs w:val="24"/>
        </w:rPr>
        <w:t xml:space="preserve"> 8. Мазур О.Є. Ринкове ціноутворення: навч. посіб./ [Мазур О. Є.]. - К.: ЦУЛ, 2012. - 480 с. </w:t>
      </w:r>
    </w:p>
    <w:p w14:paraId="5BA05A0B">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sz w:val="24"/>
          <w:szCs w:val="24"/>
        </w:rPr>
      </w:pPr>
      <w:r>
        <w:rPr>
          <w:sz w:val="24"/>
          <w:szCs w:val="24"/>
        </w:rPr>
        <w:t xml:space="preserve">9. Основи ціноутворення: Навч. посіб./ Верхоглядова Н. І., Ільіна С. Б., Іваннікова Н. А. та ін. - К.: Кондор, 2007. - 252 с. </w:t>
      </w:r>
    </w:p>
    <w:p w14:paraId="3007BA16">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r>
        <w:rPr>
          <w:sz w:val="24"/>
          <w:szCs w:val="24"/>
        </w:rPr>
        <w:t>10. Основи ціноутворення: підруч./ [Ред. Олійник Д. І., Кириченко О. А., Денисенко М. П.]. - К.: Професіонал, 2009. - 384 с.</w:t>
      </w:r>
    </w:p>
    <w:p w14:paraId="1F39D4FC">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color w:val="000000"/>
          <w:sz w:val="24"/>
          <w:szCs w:val="24"/>
        </w:rPr>
      </w:pPr>
    </w:p>
    <w:p w14:paraId="564A7396">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color w:val="000000"/>
          <w:sz w:val="24"/>
          <w:szCs w:val="24"/>
        </w:rPr>
      </w:pPr>
      <w:r>
        <w:rPr>
          <w:b/>
          <w:bCs/>
          <w:i/>
          <w:iCs/>
          <w:color w:val="000000"/>
          <w:sz w:val="24"/>
          <w:szCs w:val="24"/>
        </w:rPr>
        <w:t>Допоміжна література:</w:t>
      </w:r>
    </w:p>
    <w:p w14:paraId="2C358364">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sz w:val="24"/>
          <w:szCs w:val="24"/>
        </w:rPr>
      </w:pPr>
      <w:r>
        <w:rPr>
          <w:sz w:val="24"/>
          <w:szCs w:val="24"/>
        </w:rPr>
        <w:t xml:space="preserve">1. Верхоглядова Н. І. Основи ціноутворення : навч. посіб. / Н. І. Верхоглядова, С.Б. Ільїна, Н.О. Іванникова та ін. – Київ : Кондор, 2007. – 252 с. </w:t>
      </w:r>
    </w:p>
    <w:p w14:paraId="34E86B1F">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sz w:val="24"/>
          <w:szCs w:val="24"/>
        </w:rPr>
      </w:pPr>
      <w:r>
        <w:rPr>
          <w:sz w:val="24"/>
          <w:szCs w:val="24"/>
        </w:rPr>
        <w:t xml:space="preserve">2. Мазур О. Є. Ринкове ціноутворення: навч. посіб./ [Мазур О. Є.]. – К.: ЦУЛ, 2011.- 480 с. </w:t>
      </w:r>
    </w:p>
    <w:p w14:paraId="51862838">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sz w:val="24"/>
          <w:szCs w:val="24"/>
          <w:lang w:val="en-US"/>
        </w:rPr>
      </w:pPr>
      <w:r>
        <w:rPr>
          <w:sz w:val="24"/>
          <w:szCs w:val="24"/>
          <w:lang w:val="en-US"/>
        </w:rPr>
        <w:t xml:space="preserve">3. Confessions of the pricing man: how price affects everything. Copernicus, 2015. 236 p. </w:t>
      </w:r>
    </w:p>
    <w:p w14:paraId="3E8ED2E0">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sz w:val="24"/>
          <w:szCs w:val="24"/>
          <w:lang w:val="en-US"/>
        </w:rPr>
      </w:pPr>
      <w:r>
        <w:rPr>
          <w:sz w:val="24"/>
          <w:szCs w:val="24"/>
          <w:lang w:val="en-US"/>
        </w:rPr>
        <w:t xml:space="preserve">4. Hill P. Pricing for profit: how to develop a powerful pricing strategy for your business. Kogan Page, Limited, 2015. 280 p. </w:t>
      </w:r>
    </w:p>
    <w:p w14:paraId="7FAB28B4">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sz w:val="24"/>
          <w:szCs w:val="24"/>
          <w:lang w:val="en-US"/>
        </w:rPr>
      </w:pPr>
      <w:r>
        <w:rPr>
          <w:sz w:val="24"/>
          <w:szCs w:val="24"/>
          <w:lang w:val="en-US"/>
        </w:rPr>
        <w:t xml:space="preserve">5. Marn M. V., Zawada C. C., Baker W. L. Price advantage. Wiley &amp; Sons, Incorporated, John, 2012. </w:t>
      </w:r>
    </w:p>
    <w:p w14:paraId="54F8D246">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sz w:val="24"/>
          <w:szCs w:val="24"/>
          <w:lang w:val="en-US"/>
        </w:rPr>
      </w:pPr>
      <w:r>
        <w:rPr>
          <w:sz w:val="24"/>
          <w:szCs w:val="24"/>
          <w:lang w:val="en-US"/>
        </w:rPr>
        <w:t xml:space="preserve">6. Pricing for profit: how to develop a powerful pricing strategy for your business. Kogan Page, Limited, 2013. </w:t>
      </w:r>
    </w:p>
    <w:p w14:paraId="04EF9FFE">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sz w:val="24"/>
          <w:szCs w:val="24"/>
          <w:lang w:val="en-US"/>
        </w:rPr>
      </w:pPr>
      <w:r>
        <w:rPr>
          <w:sz w:val="24"/>
          <w:szCs w:val="24"/>
          <w:lang w:val="en-US"/>
        </w:rPr>
        <w:t>7. Pricing strategy: setting price levels, managing price discounts and establishing price structures. Cengage South-Western, 2011. 344 p.</w:t>
      </w:r>
    </w:p>
    <w:p w14:paraId="0D59ED1D">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sz w:val="24"/>
          <w:szCs w:val="24"/>
          <w:lang w:val="en-US"/>
        </w:rPr>
      </w:pPr>
      <w:r>
        <w:rPr>
          <w:sz w:val="24"/>
          <w:szCs w:val="24"/>
          <w:lang w:val="en-US"/>
        </w:rPr>
        <w:t xml:space="preserve">8. Raju J. S. Smart pricing: How Google, Priceline, and leading businesses use pricing innovation for profitability. Upper Saddle River, N.J : Wharton School Pub., 2010. 212 p. </w:t>
      </w:r>
    </w:p>
    <w:p w14:paraId="673A0BBE">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sz w:val="24"/>
          <w:szCs w:val="24"/>
          <w:lang w:val="en-US"/>
        </w:rPr>
      </w:pPr>
      <w:r>
        <w:rPr>
          <w:sz w:val="24"/>
          <w:szCs w:val="24"/>
          <w:lang w:val="en-US"/>
        </w:rPr>
        <w:t>9. Ramanujam M., Tacke G. Monetizing innovation: how smart companies design the product around the price. Wiley &amp; Sons, Incorporated, John, 2016. 256 p.</w:t>
      </w:r>
    </w:p>
    <w:p w14:paraId="60A4F76E">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b/>
          <w:bCs/>
          <w:i/>
          <w:iCs/>
          <w:color w:val="000000"/>
          <w:sz w:val="24"/>
          <w:szCs w:val="24"/>
        </w:rPr>
      </w:pPr>
    </w:p>
    <w:p w14:paraId="57691E3B">
      <w:pPr>
        <w:pBdr>
          <w:top w:val="none" w:color="auto" w:sz="0" w:space="0"/>
          <w:left w:val="none" w:color="auto" w:sz="0" w:space="0"/>
          <w:bottom w:val="none" w:color="auto" w:sz="0" w:space="0"/>
          <w:right w:val="none" w:color="auto" w:sz="0" w:space="0"/>
          <w:between w:val="none" w:color="auto" w:sz="0" w:space="0"/>
        </w:pBdr>
        <w:tabs>
          <w:tab w:val="left" w:pos="1134"/>
        </w:tabs>
        <w:spacing w:line="240" w:lineRule="auto"/>
        <w:ind w:left="0" w:hanging="2"/>
        <w:rPr>
          <w:color w:val="000000"/>
          <w:sz w:val="24"/>
          <w:szCs w:val="24"/>
          <w:lang w:val="en-US"/>
        </w:rPr>
      </w:pPr>
      <w:r>
        <w:rPr>
          <w:b/>
          <w:bCs/>
          <w:i/>
          <w:iCs/>
          <w:color w:val="000000"/>
          <w:sz w:val="24"/>
          <w:szCs w:val="24"/>
        </w:rPr>
        <w:t>Електронні</w:t>
      </w:r>
      <w:r>
        <w:rPr>
          <w:b/>
          <w:bCs/>
          <w:i/>
          <w:iCs/>
          <w:color w:val="000000"/>
          <w:sz w:val="24"/>
          <w:szCs w:val="24"/>
          <w:lang w:val="en-US"/>
        </w:rPr>
        <w:t xml:space="preserve"> </w:t>
      </w:r>
      <w:r>
        <w:rPr>
          <w:b/>
          <w:bCs/>
          <w:i/>
          <w:iCs/>
          <w:color w:val="000000"/>
          <w:sz w:val="24"/>
          <w:szCs w:val="24"/>
        </w:rPr>
        <w:t>ресурси</w:t>
      </w:r>
      <w:r>
        <w:rPr>
          <w:b/>
          <w:bCs/>
          <w:i/>
          <w:iCs/>
          <w:color w:val="000000"/>
          <w:sz w:val="24"/>
          <w:szCs w:val="24"/>
          <w:lang w:val="en-US"/>
        </w:rPr>
        <w:t>:</w:t>
      </w:r>
    </w:p>
    <w:p w14:paraId="20D81078">
      <w:pPr>
        <w:pBdr>
          <w:top w:val="none" w:color="auto" w:sz="0" w:space="0"/>
          <w:left w:val="none" w:color="auto" w:sz="0" w:space="0"/>
          <w:bottom w:val="none" w:color="auto" w:sz="0" w:space="0"/>
          <w:right w:val="none" w:color="auto" w:sz="0" w:space="0"/>
          <w:between w:val="none" w:color="auto" w:sz="0" w:space="0"/>
        </w:pBdr>
        <w:tabs>
          <w:tab w:val="left" w:pos="426"/>
          <w:tab w:val="left" w:pos="1134"/>
          <w:tab w:val="left" w:pos="1440"/>
        </w:tabs>
        <w:spacing w:line="240" w:lineRule="auto"/>
        <w:ind w:left="0" w:hanging="2"/>
        <w:jc w:val="both"/>
        <w:rPr>
          <w:sz w:val="24"/>
          <w:szCs w:val="24"/>
          <w:lang w:val="en-US"/>
        </w:rPr>
      </w:pPr>
      <w:r>
        <w:rPr>
          <w:sz w:val="24"/>
          <w:szCs w:val="24"/>
          <w:lang w:val="en-US"/>
        </w:rPr>
        <w:t xml:space="preserve">1. </w:t>
      </w:r>
      <w:r>
        <w:rPr>
          <w:sz w:val="24"/>
          <w:szCs w:val="24"/>
        </w:rPr>
        <w:t>Закон</w:t>
      </w:r>
      <w:r>
        <w:rPr>
          <w:sz w:val="24"/>
          <w:szCs w:val="24"/>
          <w:lang w:val="en-US"/>
        </w:rPr>
        <w:t xml:space="preserve"> </w:t>
      </w:r>
      <w:r>
        <w:rPr>
          <w:sz w:val="24"/>
          <w:szCs w:val="24"/>
        </w:rPr>
        <w:t>України</w:t>
      </w:r>
      <w:r>
        <w:rPr>
          <w:sz w:val="24"/>
          <w:szCs w:val="24"/>
          <w:lang w:val="en-US"/>
        </w:rPr>
        <w:t xml:space="preserve"> «</w:t>
      </w:r>
      <w:r>
        <w:rPr>
          <w:sz w:val="24"/>
          <w:szCs w:val="24"/>
        </w:rPr>
        <w:t>Про</w:t>
      </w:r>
      <w:r>
        <w:rPr>
          <w:sz w:val="24"/>
          <w:szCs w:val="24"/>
          <w:lang w:val="en-US"/>
        </w:rPr>
        <w:t xml:space="preserve"> </w:t>
      </w:r>
      <w:r>
        <w:rPr>
          <w:sz w:val="24"/>
          <w:szCs w:val="24"/>
        </w:rPr>
        <w:t>ціни</w:t>
      </w:r>
      <w:r>
        <w:rPr>
          <w:sz w:val="24"/>
          <w:szCs w:val="24"/>
          <w:lang w:val="en-US"/>
        </w:rPr>
        <w:t xml:space="preserve"> </w:t>
      </w:r>
      <w:r>
        <w:rPr>
          <w:sz w:val="24"/>
          <w:szCs w:val="24"/>
        </w:rPr>
        <w:t>і</w:t>
      </w:r>
      <w:r>
        <w:rPr>
          <w:sz w:val="24"/>
          <w:szCs w:val="24"/>
          <w:lang w:val="en-US"/>
        </w:rPr>
        <w:t xml:space="preserve"> </w:t>
      </w:r>
      <w:r>
        <w:rPr>
          <w:sz w:val="24"/>
          <w:szCs w:val="24"/>
        </w:rPr>
        <w:t>ціноутворення</w:t>
      </w:r>
      <w:r>
        <w:rPr>
          <w:sz w:val="24"/>
          <w:szCs w:val="24"/>
          <w:lang w:val="en-US"/>
        </w:rPr>
        <w:t xml:space="preserve">» </w:t>
      </w:r>
      <w:r>
        <w:rPr>
          <w:sz w:val="24"/>
          <w:szCs w:val="24"/>
        </w:rPr>
        <w:t>від</w:t>
      </w:r>
      <w:r>
        <w:rPr>
          <w:sz w:val="24"/>
          <w:szCs w:val="24"/>
          <w:lang w:val="en-US"/>
        </w:rPr>
        <w:t xml:space="preserve"> 21.06.2012 </w:t>
      </w:r>
      <w:r>
        <w:rPr>
          <w:sz w:val="24"/>
          <w:szCs w:val="24"/>
        </w:rPr>
        <w:t>р</w:t>
      </w:r>
      <w:r>
        <w:rPr>
          <w:sz w:val="24"/>
          <w:szCs w:val="24"/>
          <w:lang w:val="en-US"/>
        </w:rPr>
        <w:t>. № 5007-VI [</w:t>
      </w:r>
      <w:r>
        <w:rPr>
          <w:sz w:val="24"/>
          <w:szCs w:val="24"/>
        </w:rPr>
        <w:t>Електронний</w:t>
      </w:r>
      <w:r>
        <w:rPr>
          <w:sz w:val="24"/>
          <w:szCs w:val="24"/>
          <w:lang w:val="en-US"/>
        </w:rPr>
        <w:t xml:space="preserve"> </w:t>
      </w:r>
      <w:r>
        <w:rPr>
          <w:sz w:val="24"/>
          <w:szCs w:val="24"/>
        </w:rPr>
        <w:t>ресурс</w:t>
      </w:r>
      <w:r>
        <w:rPr>
          <w:sz w:val="24"/>
          <w:szCs w:val="24"/>
          <w:lang w:val="en-US"/>
        </w:rPr>
        <w:t xml:space="preserve">] – </w:t>
      </w:r>
      <w:r>
        <w:rPr>
          <w:sz w:val="24"/>
          <w:szCs w:val="24"/>
        </w:rPr>
        <w:t>Режим</w:t>
      </w:r>
      <w:r>
        <w:rPr>
          <w:sz w:val="24"/>
          <w:szCs w:val="24"/>
          <w:lang w:val="en-US"/>
        </w:rPr>
        <w:t xml:space="preserve"> </w:t>
      </w:r>
      <w:r>
        <w:rPr>
          <w:sz w:val="24"/>
          <w:szCs w:val="24"/>
        </w:rPr>
        <w:t>доступу</w:t>
      </w:r>
      <w:r>
        <w:rPr>
          <w:sz w:val="24"/>
          <w:szCs w:val="24"/>
          <w:lang w:val="en-US"/>
        </w:rPr>
        <w:t>: https://zakon.rada.gov.ua/laws/show/5007- 17#Text.</w:t>
      </w:r>
    </w:p>
    <w:p w14:paraId="10DE6AB3">
      <w:pPr>
        <w:pBdr>
          <w:top w:val="none" w:color="auto" w:sz="0" w:space="0"/>
          <w:left w:val="none" w:color="auto" w:sz="0" w:space="0"/>
          <w:bottom w:val="none" w:color="auto" w:sz="0" w:space="0"/>
          <w:right w:val="none" w:color="auto" w:sz="0" w:space="0"/>
          <w:between w:val="none" w:color="auto" w:sz="0" w:space="0"/>
        </w:pBdr>
        <w:tabs>
          <w:tab w:val="left" w:pos="426"/>
          <w:tab w:val="left" w:pos="1134"/>
          <w:tab w:val="left" w:pos="1440"/>
        </w:tabs>
        <w:spacing w:line="240" w:lineRule="auto"/>
        <w:ind w:left="0" w:hanging="2"/>
        <w:jc w:val="both"/>
        <w:rPr>
          <w:sz w:val="24"/>
          <w:szCs w:val="24"/>
        </w:rPr>
      </w:pPr>
      <w:r>
        <w:rPr>
          <w:sz w:val="24"/>
          <w:szCs w:val="24"/>
          <w:lang w:val="en-US"/>
        </w:rPr>
        <w:t xml:space="preserve"> </w:t>
      </w:r>
      <w:r>
        <w:rPr>
          <w:sz w:val="24"/>
          <w:szCs w:val="24"/>
        </w:rPr>
        <w:t xml:space="preserve">2. Податковий Кодекс України від 23.12.2010 № 2755-VI [Електронний ресурс]. – Режим доступу: https://zakon.rada.gov.ua/laws/show/2755-17. </w:t>
      </w:r>
    </w:p>
    <w:p w14:paraId="1DA2BC01">
      <w:pPr>
        <w:pBdr>
          <w:top w:val="none" w:color="auto" w:sz="0" w:space="0"/>
          <w:left w:val="none" w:color="auto" w:sz="0" w:space="0"/>
          <w:bottom w:val="none" w:color="auto" w:sz="0" w:space="0"/>
          <w:right w:val="none" w:color="auto" w:sz="0" w:space="0"/>
          <w:between w:val="none" w:color="auto" w:sz="0" w:space="0"/>
        </w:pBdr>
        <w:tabs>
          <w:tab w:val="left" w:pos="426"/>
          <w:tab w:val="left" w:pos="1134"/>
          <w:tab w:val="left" w:pos="1440"/>
        </w:tabs>
        <w:spacing w:line="240" w:lineRule="auto"/>
        <w:ind w:left="0" w:hanging="2"/>
        <w:jc w:val="both"/>
        <w:rPr>
          <w:sz w:val="24"/>
          <w:szCs w:val="24"/>
        </w:rPr>
      </w:pPr>
      <w:r>
        <w:rPr>
          <w:sz w:val="24"/>
          <w:szCs w:val="24"/>
        </w:rPr>
        <w:t xml:space="preserve">3. Митний Кодекс України від 13.03.2012 № 4495-VI [Електронний ресурс]. – Режим доступу: </w:t>
      </w:r>
      <w:r>
        <w:fldChar w:fldCharType="begin"/>
      </w:r>
      <w:r>
        <w:instrText xml:space="preserve"> HYPERLINK "http://zakon.rada.gov.ua" \h </w:instrText>
      </w:r>
      <w:r>
        <w:fldChar w:fldCharType="separate"/>
      </w:r>
      <w:r>
        <w:rPr>
          <w:color w:val="1155CC"/>
          <w:sz w:val="24"/>
          <w:szCs w:val="24"/>
          <w:u w:val="single"/>
        </w:rPr>
        <w:t>http://zakon.rada.gov.ua</w:t>
      </w:r>
      <w:r>
        <w:rPr>
          <w:color w:val="1155CC"/>
          <w:sz w:val="24"/>
          <w:szCs w:val="24"/>
          <w:u w:val="single"/>
        </w:rPr>
        <w:fldChar w:fldCharType="end"/>
      </w:r>
      <w:r>
        <w:rPr>
          <w:sz w:val="24"/>
          <w:szCs w:val="24"/>
        </w:rPr>
        <w:t>.</w:t>
      </w:r>
    </w:p>
    <w:p w14:paraId="1890E1D6">
      <w:pPr>
        <w:pBdr>
          <w:top w:val="none" w:color="auto" w:sz="0" w:space="0"/>
          <w:left w:val="none" w:color="auto" w:sz="0" w:space="0"/>
          <w:bottom w:val="none" w:color="auto" w:sz="0" w:space="0"/>
          <w:right w:val="none" w:color="auto" w:sz="0" w:space="0"/>
          <w:between w:val="none" w:color="auto" w:sz="0" w:space="0"/>
        </w:pBdr>
        <w:tabs>
          <w:tab w:val="left" w:pos="426"/>
          <w:tab w:val="left" w:pos="1134"/>
          <w:tab w:val="left" w:pos="1440"/>
        </w:tabs>
        <w:spacing w:line="240" w:lineRule="auto"/>
        <w:ind w:left="0" w:hanging="2"/>
        <w:jc w:val="both"/>
        <w:rPr>
          <w:color w:val="000000"/>
          <w:sz w:val="24"/>
          <w:szCs w:val="24"/>
        </w:rPr>
      </w:pPr>
      <w:r>
        <w:rPr>
          <w:sz w:val="24"/>
          <w:szCs w:val="24"/>
        </w:rPr>
        <w:t xml:space="preserve"> 4. Ціни та ціноутворення: опорний конспект лекцій для здобувачів вищої освіти ступеня «бакалавр» спеціальності 073 «Менеджмент» денної та заочної форми навчання / М. І. Кареба — Миколаїв: МДАУ, 2017. — 100 с. [Електронний ресурс] – Режим доступу: http://dspace.mnau.edu.ua/jspui/bitstream/123456789/2155/1/Tsiny_ta_tsinoutvorenn ya.pdf.</w:t>
      </w:r>
    </w:p>
    <w:p w14:paraId="40B9E700">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color w:val="000000"/>
          <w:sz w:val="24"/>
          <w:szCs w:val="24"/>
        </w:rPr>
      </w:pPr>
    </w:p>
    <w:sectPr>
      <w:headerReference r:id="rId6" w:type="first"/>
      <w:headerReference r:id="rId5" w:type="default"/>
      <w:pgSz w:w="11906" w:h="16838"/>
      <w:pgMar w:top="934" w:right="605" w:bottom="1134" w:left="1101" w:header="709"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 w:hanging="2"/>
      </w:pPr>
      <w:r>
        <w:separator/>
      </w:r>
    </w:p>
  </w:endnote>
  <w:endnote w:type="continuationSeparator" w:id="1">
    <w:p>
      <w:pPr>
        <w:spacing w:line="240" w:lineRule="auto"/>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82537AA1-254D-4D90-8A21-25AC76A17BFE}"/>
  </w:font>
  <w:font w:name="Courier New">
    <w:panose1 w:val="02070309020205020404"/>
    <w:charset w:val="00"/>
    <w:family w:val="modern"/>
    <w:pitch w:val="default"/>
    <w:sig w:usb0="E0002EFF" w:usb1="C0007843" w:usb2="00000009" w:usb3="00000000" w:csb0="400001FF" w:csb1="FFFF0000"/>
    <w:embedRegular r:id="rId2" w:fontKey="{C64B3E67-374D-4F80-8352-3AB1A29EE262}"/>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embedRegular r:id="rId3" w:fontKey="{7A383C3C-5265-4C34-8CC1-98D2D0E0A732}"/>
  </w:font>
  <w:font w:name="Calibri">
    <w:panose1 w:val="020F0502020204030204"/>
    <w:charset w:val="00"/>
    <w:family w:val="swiss"/>
    <w:pitch w:val="default"/>
    <w:sig w:usb0="E4002EFF" w:usb1="C000247B" w:usb2="00000009" w:usb3="00000000" w:csb0="200001FF" w:csb1="00000000"/>
    <w:embedRegular r:id="rId4" w:fontKey="{4A85F367-1740-4823-8899-9E43197E6744}"/>
  </w:font>
  <w:font w:name="Calibri Light">
    <w:panose1 w:val="020F0302020204030204"/>
    <w:charset w:val="CC"/>
    <w:family w:val="swiss"/>
    <w:pitch w:val="default"/>
    <w:sig w:usb0="E4002EFF" w:usb1="C000247B" w:usb2="00000009" w:usb3="00000000" w:csb0="200001FF" w:csb1="00000000"/>
    <w:embedRegular r:id="rId5" w:fontKey="{A95409B5-AB3C-4FAB-8004-9010AAE9E822}"/>
  </w:font>
  <w:font w:name="Aptos">
    <w:altName w:val="Calibri"/>
    <w:panose1 w:val="00000000000000000000"/>
    <w:charset w:val="00"/>
    <w:family w:val="swiss"/>
    <w:pitch w:val="default"/>
    <w:sig w:usb0="00000000" w:usb1="00000000" w:usb2="00000000" w:usb3="00000000" w:csb0="0000019F" w:csb1="00000000"/>
    <w:embedRegular r:id="rId6" w:fontKey="{3BFC6D04-BDF4-4FEA-B8E0-CC9B923DECDE}"/>
  </w:font>
  <w:font w:name="Courier New">
    <w:panose1 w:val="02070309020205020404"/>
    <w:charset w:val="CC"/>
    <w:family w:val="modern"/>
    <w:pitch w:val="default"/>
    <w:sig w:usb0="E0002EFF" w:usb1="C0007843" w:usb2="00000009" w:usb3="00000000" w:csb0="400001FF" w:csb1="FFFF0000"/>
    <w:embedRegular r:id="rId7" w:fontKey="{9CA21173-3F02-4578-8E72-D1C464B7D4A7}"/>
  </w:font>
  <w:font w:name="Arial Narrow">
    <w:panose1 w:val="020B0606020202030204"/>
    <w:charset w:val="CC"/>
    <w:family w:val="swiss"/>
    <w:pitch w:val="default"/>
    <w:sig w:usb0="00000287" w:usb1="00000800" w:usb2="00000000" w:usb3="00000000" w:csb0="2000009F" w:csb1="DFD70000"/>
    <w:embedRegular r:id="rId8" w:fontKey="{D2B22747-F55A-4644-B64D-56E73CF8A04E}"/>
  </w:font>
  <w:font w:name="Liberation Sans">
    <w:altName w:val="Arial"/>
    <w:panose1 w:val="00000000000000000000"/>
    <w:charset w:val="CC"/>
    <w:family w:val="swiss"/>
    <w:pitch w:val="default"/>
    <w:sig w:usb0="00000000" w:usb1="00000000" w:usb2="00000000" w:usb3="00000000" w:csb0="00040001" w:csb1="00000000"/>
    <w:embedRegular r:id="rId9" w:fontKey="{88F55FD1-BA69-432E-AD87-95B19F56C1A9}"/>
  </w:font>
  <w:font w:name="Microsoft YaHei">
    <w:panose1 w:val="020B0503020204020204"/>
    <w:charset w:val="86"/>
    <w:family w:val="swiss"/>
    <w:pitch w:val="default"/>
    <w:sig w:usb0="80000287" w:usb1="2ACF3C50" w:usb2="00000016" w:usb3="00000000" w:csb0="0004001F" w:csb1="00000000"/>
  </w:font>
  <w:font w:name="Arial">
    <w:panose1 w:val="020B0604020202020204"/>
    <w:charset w:val="CC"/>
    <w:family w:val="swiss"/>
    <w:pitch w:val="default"/>
    <w:sig w:usb0="E0002EFF" w:usb1="C000785B" w:usb2="00000009" w:usb3="00000000" w:csb0="400001FF" w:csb1="FFFF0000"/>
    <w:embedRegular r:id="rId10" w:fontKey="{6FC53078-A98A-46D4-BC48-DC446CF47DD7}"/>
  </w:font>
  <w:font w:name="Calibri">
    <w:panose1 w:val="020F0502020204030204"/>
    <w:charset w:val="CC"/>
    <w:family w:val="swiss"/>
    <w:pitch w:val="default"/>
    <w:sig w:usb0="E4002EFF" w:usb1="C000247B" w:usb2="00000009" w:usb3="00000000" w:csb0="200001FF" w:csb1="00000000"/>
    <w:embedRegular r:id="rId11" w:fontKey="{59DDA177-9A0E-4D5E-B473-521C32375872}"/>
  </w:font>
  <w:font w:name="Georgia">
    <w:panose1 w:val="02040502050405020303"/>
    <w:charset w:val="CC"/>
    <w:family w:val="roman"/>
    <w:pitch w:val="default"/>
    <w:sig w:usb0="00000287" w:usb1="00000000" w:usb2="00000000" w:usb3="00000000" w:csb0="2000009F" w:csb1="00000000"/>
    <w:embedRegular r:id="rId12" w:fontKey="{AD8F5420-3347-4FF0-A7A9-850DEB34EE7D}"/>
  </w:font>
  <w:font w:name="Symbol">
    <w:panose1 w:val="05050102010706020507"/>
    <w:charset w:val="02"/>
    <w:family w:val="roman"/>
    <w:pitch w:val="default"/>
    <w:sig w:usb0="00000000" w:usb1="00000000" w:usb2="00000000" w:usb3="00000000" w:csb0="80000000" w:csb1="00000000"/>
    <w:embedRegular r:id="rId13" w:fontKey="{ACBE1EE1-54B6-4784-A8E6-7CB1F9F718F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left="-2" w:hanging="2"/>
      </w:pPr>
      <w:r>
        <w:separator/>
      </w:r>
    </w:p>
  </w:footnote>
  <w:footnote w:type="continuationSeparator" w:id="1">
    <w:p>
      <w:pPr>
        <w:spacing w:line="240" w:lineRule="auto"/>
        <w:ind w:left="-2"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D1763">
    <w:pPr>
      <w:pBdr>
        <w:top w:val="none" w:color="auto" w:sz="0" w:space="0"/>
        <w:left w:val="none" w:color="auto" w:sz="0" w:space="0"/>
        <w:bottom w:val="none" w:color="auto" w:sz="0" w:space="0"/>
        <w:right w:val="none" w:color="auto" w:sz="0" w:space="0"/>
        <w:between w:val="none" w:color="auto" w:sz="0" w:space="0"/>
      </w:pBdr>
      <w:tabs>
        <w:tab w:val="center" w:pos="4677"/>
        <w:tab w:val="right" w:pos="9355"/>
      </w:tabs>
      <w:spacing w:line="240" w:lineRule="auto"/>
      <w:ind w:left="0" w:hanging="2"/>
      <w:jc w:val="right"/>
      <w:rPr>
        <w:color w:val="000000"/>
      </w:rPr>
    </w:pPr>
    <w:r>
      <w:rPr>
        <w:color w:val="000000"/>
      </w:rPr>
      <w:fldChar w:fldCharType="begin"/>
    </w:r>
    <w:r>
      <w:rPr>
        <w:color w:val="000000"/>
      </w:rPr>
      <w:instrText xml:space="preserve">PAGE</w:instrText>
    </w:r>
    <w:r>
      <w:rPr>
        <w:color w:val="000000"/>
      </w:rPr>
      <w:fldChar w:fldCharType="separate"/>
    </w:r>
    <w:r>
      <w:rPr>
        <w:color w:val="000000"/>
      </w:rPr>
      <w:t>2</w:t>
    </w:r>
    <w:r>
      <w:rPr>
        <w:color w:val="000000"/>
      </w:rPr>
      <w:fldChar w:fldCharType="end"/>
    </w:r>
  </w:p>
  <w:p w14:paraId="2DE819C8">
    <w:pPr>
      <w:pBdr>
        <w:top w:val="none" w:color="auto" w:sz="0" w:space="0"/>
        <w:left w:val="none" w:color="auto" w:sz="0" w:space="0"/>
        <w:bottom w:val="none" w:color="auto" w:sz="0" w:space="0"/>
        <w:right w:val="none" w:color="auto" w:sz="0" w:space="0"/>
        <w:between w:val="none" w:color="auto" w:sz="0" w:space="0"/>
      </w:pBdr>
      <w:tabs>
        <w:tab w:val="center" w:pos="4677"/>
        <w:tab w:val="right" w:pos="9355"/>
      </w:tabs>
      <w:spacing w:line="240" w:lineRule="auto"/>
      <w:ind w:left="0" w:hanging="2"/>
      <w:jc w:val="righ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F8482">
    <w:pPr>
      <w:pBdr>
        <w:top w:val="none" w:color="auto" w:sz="0" w:space="0"/>
        <w:left w:val="none" w:color="auto" w:sz="0" w:space="0"/>
        <w:bottom w:val="none" w:color="auto" w:sz="0" w:space="0"/>
        <w:right w:val="none" w:color="auto" w:sz="0" w:space="0"/>
        <w:between w:val="none" w:color="auto" w:sz="0" w:space="0"/>
      </w:pBdr>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AB3807"/>
    <w:multiLevelType w:val="multilevel"/>
    <w:tmpl w:val="17AB380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359A1C8B"/>
    <w:multiLevelType w:val="multilevel"/>
    <w:tmpl w:val="359A1C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412604E3"/>
    <w:multiLevelType w:val="multilevel"/>
    <w:tmpl w:val="412604E3"/>
    <w:lvl w:ilvl="0" w:tentative="0">
      <w:start w:val="1"/>
      <w:numFmt w:val="decimal"/>
      <w:pStyle w:val="2"/>
      <w:lvlText w:val="%1."/>
      <w:lvlJc w:val="left"/>
      <w:pPr>
        <w:tabs>
          <w:tab w:val="left" w:pos="720"/>
        </w:tabs>
        <w:ind w:left="720" w:hanging="720"/>
      </w:pPr>
    </w:lvl>
    <w:lvl w:ilvl="1" w:tentative="0">
      <w:start w:val="1"/>
      <w:numFmt w:val="decimal"/>
      <w:pStyle w:val="3"/>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pStyle w:val="6"/>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
    <w:nsid w:val="47C345DC"/>
    <w:multiLevelType w:val="multilevel"/>
    <w:tmpl w:val="47C345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657205CD"/>
    <w:multiLevelType w:val="multilevel"/>
    <w:tmpl w:val="657205C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891"/>
    <w:rsid w:val="00077891"/>
    <w:rsid w:val="000C4C4E"/>
    <w:rsid w:val="001D7F86"/>
    <w:rsid w:val="004303E3"/>
    <w:rsid w:val="005B15ED"/>
    <w:rsid w:val="006D5AFA"/>
    <w:rsid w:val="00772D32"/>
    <w:rsid w:val="009F2EFC"/>
    <w:rsid w:val="00A17D48"/>
    <w:rsid w:val="00AF5D91"/>
    <w:rsid w:val="00BA72F8"/>
    <w:rsid w:val="00CF439F"/>
    <w:rsid w:val="0F910A13"/>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iPriority="99" w:name="footer"/>
    <w:lsdException w:uiPriority="99" w:name="index heading"/>
    <w:lsdException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atentStyles>
  <w:style w:type="paragraph" w:default="1" w:styleId="1">
    <w:name w:val="Normal"/>
    <w:uiPriority w:val="0"/>
    <w:pPr>
      <w:spacing w:line="1" w:lineRule="atLeast"/>
      <w:ind w:left="-1" w:leftChars="-1" w:hanging="1" w:hangingChars="1"/>
      <w:textAlignment w:val="top"/>
      <w:outlineLvl w:val="0"/>
    </w:pPr>
    <w:rPr>
      <w:rFonts w:ascii="Times New Roman" w:hAnsi="Times New Roman" w:eastAsia="Times New Roman" w:cs="Times New Roman"/>
      <w:position w:val="-1"/>
      <w:lang w:val="ru-RU" w:eastAsia="ru-RU" w:bidi="ar-SA"/>
    </w:rPr>
  </w:style>
  <w:style w:type="paragraph" w:styleId="2">
    <w:name w:val="heading 1"/>
    <w:basedOn w:val="1"/>
    <w:next w:val="1"/>
    <w:uiPriority w:val="0"/>
    <w:pPr>
      <w:numPr>
        <w:ilvl w:val="0"/>
        <w:numId w:val="1"/>
      </w:numPr>
      <w:tabs>
        <w:tab w:val="left" w:pos="0"/>
      </w:tabs>
      <w:spacing w:before="280" w:after="280"/>
      <w:ind w:left="-1" w:hanging="1"/>
    </w:pPr>
    <w:rPr>
      <w:rFonts w:ascii="SimSun" w:hAnsi="SimSun" w:eastAsia="SimSun" w:cs="SimSun"/>
      <w:b/>
      <w:bCs/>
      <w:kern w:val="2"/>
      <w:sz w:val="48"/>
      <w:szCs w:val="48"/>
      <w:lang w:val="en-US" w:eastAsia="zh-CN"/>
    </w:rPr>
  </w:style>
  <w:style w:type="paragraph" w:styleId="3">
    <w:name w:val="heading 2"/>
    <w:basedOn w:val="1"/>
    <w:next w:val="1"/>
    <w:uiPriority w:val="0"/>
    <w:pPr>
      <w:keepNext/>
      <w:numPr>
        <w:ilvl w:val="1"/>
        <w:numId w:val="1"/>
      </w:numPr>
      <w:tabs>
        <w:tab w:val="left" w:pos="0"/>
      </w:tabs>
      <w:spacing w:before="240" w:after="60"/>
      <w:ind w:left="-1" w:hanging="1"/>
      <w:outlineLvl w:val="1"/>
    </w:pPr>
    <w:rPr>
      <w:rFonts w:ascii="Calibri Light" w:hAnsi="Calibri Light" w:cs="Calibri Light"/>
      <w:b/>
      <w:bCs/>
      <w:i/>
      <w:iCs/>
      <w:sz w:val="28"/>
      <w:szCs w:val="28"/>
    </w:rPr>
  </w:style>
  <w:style w:type="paragraph" w:styleId="4">
    <w:name w:val="heading 3"/>
    <w:basedOn w:val="1"/>
    <w:next w:val="1"/>
    <w:uiPriority w:val="0"/>
    <w:pPr>
      <w:keepNext/>
      <w:spacing w:before="240" w:after="60"/>
      <w:outlineLvl w:val="2"/>
    </w:pPr>
    <w:rPr>
      <w:rFonts w:ascii="Calibri Light" w:hAnsi="Calibri Light"/>
      <w:b/>
      <w:bCs/>
      <w:sz w:val="26"/>
      <w:szCs w:val="26"/>
    </w:rPr>
  </w:style>
  <w:style w:type="paragraph" w:styleId="5">
    <w:name w:val="heading 4"/>
    <w:basedOn w:val="1"/>
    <w:next w:val="1"/>
    <w:qFormat/>
    <w:uiPriority w:val="0"/>
    <w:pPr>
      <w:keepNext/>
      <w:keepLines/>
      <w:spacing w:before="240" w:after="40"/>
      <w:outlineLvl w:val="3"/>
    </w:pPr>
    <w:rPr>
      <w:b/>
      <w:bCs/>
      <w:sz w:val="24"/>
      <w:szCs w:val="24"/>
    </w:rPr>
  </w:style>
  <w:style w:type="paragraph" w:styleId="6">
    <w:name w:val="heading 5"/>
    <w:basedOn w:val="1"/>
    <w:next w:val="1"/>
    <w:uiPriority w:val="0"/>
    <w:pPr>
      <w:numPr>
        <w:ilvl w:val="4"/>
        <w:numId w:val="1"/>
      </w:numPr>
      <w:tabs>
        <w:tab w:val="left" w:pos="0"/>
      </w:tabs>
      <w:spacing w:before="240" w:after="60"/>
      <w:ind w:left="-1" w:hanging="1"/>
      <w:outlineLvl w:val="4"/>
    </w:pPr>
    <w:rPr>
      <w:b/>
      <w:bCs/>
      <w:i/>
      <w:iCs/>
      <w:sz w:val="26"/>
      <w:szCs w:val="26"/>
    </w:rPr>
  </w:style>
  <w:style w:type="paragraph" w:styleId="7">
    <w:name w:val="heading 6"/>
    <w:basedOn w:val="1"/>
    <w:next w:val="1"/>
    <w:uiPriority w:val="0"/>
    <w:pPr>
      <w:keepNext/>
      <w:keepLines/>
      <w:spacing w:before="200" w:after="40"/>
      <w:outlineLvl w:val="5"/>
    </w:pPr>
    <w:rPr>
      <w:b/>
      <w:bCs/>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Emphasis"/>
    <w:uiPriority w:val="0"/>
    <w:rPr>
      <w:i/>
      <w:iCs/>
      <w:w w:val="100"/>
      <w:position w:val="-1"/>
      <w:vertAlign w:val="baseline"/>
      <w:cs w:val="0"/>
    </w:rPr>
  </w:style>
  <w:style w:type="character" w:styleId="11">
    <w:name w:val="Hyperlink"/>
    <w:uiPriority w:val="0"/>
    <w:rPr>
      <w:color w:val="0000FF"/>
      <w:w w:val="100"/>
      <w:position w:val="-1"/>
      <w:u w:val="single"/>
      <w:vertAlign w:val="baseline"/>
      <w:cs w:val="0"/>
    </w:rPr>
  </w:style>
  <w:style w:type="character" w:styleId="12">
    <w:name w:val="page number"/>
    <w:uiPriority w:val="0"/>
    <w:rPr>
      <w:w w:val="100"/>
      <w:position w:val="-1"/>
      <w:vertAlign w:val="baseline"/>
      <w:cs w:val="0"/>
    </w:rPr>
  </w:style>
  <w:style w:type="paragraph" w:styleId="13">
    <w:name w:val="Body Text Indent 3"/>
    <w:basedOn w:val="1"/>
    <w:uiPriority w:val="0"/>
    <w:pPr>
      <w:overflowPunct w:val="0"/>
      <w:autoSpaceDE w:val="0"/>
      <w:autoSpaceDN w:val="0"/>
      <w:adjustRightInd w:val="0"/>
      <w:spacing w:line="360" w:lineRule="auto"/>
      <w:ind w:firstLine="1080"/>
      <w:textAlignment w:val="baseline"/>
    </w:pPr>
    <w:rPr>
      <w:sz w:val="24"/>
      <w:lang w:val="uk-UA"/>
    </w:rPr>
  </w:style>
  <w:style w:type="paragraph" w:styleId="14">
    <w:name w:val="caption"/>
    <w:basedOn w:val="1"/>
    <w:uiPriority w:val="0"/>
    <w:pPr>
      <w:suppressLineNumbers/>
      <w:spacing w:before="120" w:after="120"/>
    </w:pPr>
    <w:rPr>
      <w:i/>
      <w:iCs/>
      <w:sz w:val="24"/>
      <w:szCs w:val="24"/>
    </w:rPr>
  </w:style>
  <w:style w:type="paragraph" w:styleId="15">
    <w:name w:val="header"/>
    <w:basedOn w:val="1"/>
    <w:uiPriority w:val="0"/>
    <w:pPr>
      <w:tabs>
        <w:tab w:val="center" w:pos="4677"/>
        <w:tab w:val="right" w:pos="9355"/>
      </w:tabs>
    </w:pPr>
  </w:style>
  <w:style w:type="paragraph" w:styleId="16">
    <w:name w:val="Body Text"/>
    <w:basedOn w:val="1"/>
    <w:uiPriority w:val="0"/>
    <w:pPr>
      <w:spacing w:after="120"/>
    </w:pPr>
  </w:style>
  <w:style w:type="paragraph" w:styleId="17">
    <w:name w:val="Body Text Indent"/>
    <w:basedOn w:val="1"/>
    <w:uiPriority w:val="0"/>
    <w:pPr>
      <w:spacing w:after="120"/>
      <w:ind w:left="283" w:firstLine="0"/>
    </w:pPr>
  </w:style>
  <w:style w:type="paragraph" w:styleId="18">
    <w:name w:val="Title"/>
    <w:basedOn w:val="1"/>
    <w:next w:val="1"/>
    <w:qFormat/>
    <w:uiPriority w:val="0"/>
    <w:pPr>
      <w:keepNext/>
      <w:keepLines/>
      <w:spacing w:before="480" w:after="120"/>
    </w:pPr>
    <w:rPr>
      <w:b/>
      <w:bCs/>
      <w:sz w:val="72"/>
      <w:szCs w:val="72"/>
    </w:rPr>
  </w:style>
  <w:style w:type="paragraph" w:styleId="19">
    <w:name w:val="List"/>
    <w:basedOn w:val="16"/>
    <w:uiPriority w:val="0"/>
  </w:style>
  <w:style w:type="paragraph" w:styleId="20">
    <w:name w:val="Body Text Indent 2"/>
    <w:basedOn w:val="1"/>
    <w:uiPriority w:val="0"/>
    <w:pPr>
      <w:overflowPunct w:val="0"/>
      <w:autoSpaceDE w:val="0"/>
      <w:autoSpaceDN w:val="0"/>
      <w:adjustRightInd w:val="0"/>
      <w:ind w:firstLine="1080"/>
      <w:jc w:val="both"/>
      <w:textAlignment w:val="baseline"/>
    </w:pPr>
    <w:rPr>
      <w:sz w:val="24"/>
      <w:lang w:val="uk-UA"/>
    </w:rPr>
  </w:style>
  <w:style w:type="paragraph" w:styleId="21">
    <w:name w:val="Subtitle"/>
    <w:basedOn w:val="1"/>
    <w:next w:val="1"/>
    <w:uiPriority w:val="0"/>
    <w:pPr>
      <w:keepNext/>
      <w:keepLines/>
      <w:spacing w:before="360" w:after="80"/>
    </w:pPr>
    <w:rPr>
      <w:rFonts w:ascii="Georgia" w:hAnsi="Georgia" w:eastAsia="Georgia" w:cs="Georgia"/>
      <w:i/>
      <w:iCs/>
      <w:color w:val="666666"/>
      <w:sz w:val="48"/>
      <w:szCs w:val="48"/>
    </w:rPr>
  </w:style>
  <w:style w:type="table" w:styleId="22">
    <w:name w:val="Table Grid"/>
    <w:basedOn w:val="9"/>
    <w:uiPriority w:val="0"/>
    <w:pPr>
      <w:suppressAutoHyphens/>
      <w:spacing w:line="1" w:lineRule="atLeast"/>
      <w:ind w:left="-1" w:leftChars="-1" w:hanging="1" w:hangingChars="1"/>
      <w:textAlignment w:val="top"/>
      <w:outlineLvl w:val="0"/>
    </w:pPr>
    <w:rPr>
      <w:rFonts w:ascii="Aptos" w:hAnsi="Aptos" w:eastAsia="Aptos"/>
      <w:kern w:val="2"/>
      <w:position w:val="-1"/>
      <w:sz w:val="24"/>
      <w:szCs w:val="24"/>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TableNormal"/>
    <w:uiPriority w:val="0"/>
    <w:pPr>
      <w:suppressAutoHyphens/>
      <w:spacing w:line="1" w:lineRule="atLeast"/>
      <w:ind w:left="-1" w:leftChars="-1" w:hanging="1" w:hangingChars="1"/>
      <w:textAlignment w:val="top"/>
      <w:outlineLvl w:val="0"/>
    </w:pPr>
    <w:rPr>
      <w:position w:val="-1"/>
    </w:rPr>
    <w:tblPr>
      <w:tblCellMar>
        <w:top w:w="100" w:type="dxa"/>
        <w:left w:w="100" w:type="dxa"/>
        <w:bottom w:w="100" w:type="dxa"/>
        <w:right w:w="100" w:type="dxa"/>
      </w:tblCellMar>
    </w:tblPr>
  </w:style>
  <w:style w:type="character" w:customStyle="1" w:styleId="24">
    <w:name w:val="Заголовок 3 Знак"/>
    <w:uiPriority w:val="0"/>
    <w:rPr>
      <w:rFonts w:ascii="Calibri Light" w:hAnsi="Calibri Light" w:eastAsia="Times New Roman" w:cs="Times New Roman"/>
      <w:b/>
      <w:bCs/>
      <w:w w:val="100"/>
      <w:position w:val="-1"/>
      <w:sz w:val="26"/>
      <w:szCs w:val="26"/>
      <w:vertAlign w:val="baseline"/>
      <w:cs w:val="0"/>
      <w:lang w:val="ru-RU" w:eastAsia="ru-RU"/>
    </w:rPr>
  </w:style>
  <w:style w:type="character" w:customStyle="1" w:styleId="25">
    <w:name w:val="WW8Num2z0"/>
    <w:uiPriority w:val="0"/>
    <w:rPr>
      <w:rFonts w:hint="default" w:ascii="Times New Roman" w:hAnsi="Times New Roman" w:cs="Times New Roman"/>
      <w:w w:val="100"/>
      <w:position w:val="-1"/>
      <w:sz w:val="24"/>
      <w:szCs w:val="24"/>
      <w:vertAlign w:val="baseline"/>
      <w:cs w:val="0"/>
    </w:rPr>
  </w:style>
  <w:style w:type="character" w:customStyle="1" w:styleId="26">
    <w:name w:val="WW8Num2z1"/>
    <w:uiPriority w:val="0"/>
    <w:rPr>
      <w:w w:val="100"/>
      <w:position w:val="-1"/>
      <w:vertAlign w:val="baseline"/>
      <w:cs w:val="0"/>
    </w:rPr>
  </w:style>
  <w:style w:type="character" w:customStyle="1" w:styleId="27">
    <w:name w:val="WW8Num3z0"/>
    <w:uiPriority w:val="0"/>
    <w:rPr>
      <w:w w:val="100"/>
      <w:position w:val="-1"/>
      <w:vertAlign w:val="baseline"/>
      <w:cs w:val="0"/>
    </w:rPr>
  </w:style>
  <w:style w:type="character" w:customStyle="1" w:styleId="28">
    <w:name w:val="WW8Num1z0"/>
    <w:uiPriority w:val="0"/>
    <w:rPr>
      <w:rFonts w:hint="default" w:ascii="Times New Roman" w:hAnsi="Times New Roman" w:cs="Times New Roman"/>
      <w:w w:val="100"/>
      <w:position w:val="-1"/>
      <w:sz w:val="24"/>
      <w:szCs w:val="24"/>
      <w:vertAlign w:val="baseline"/>
      <w:cs w:val="0"/>
    </w:rPr>
  </w:style>
  <w:style w:type="character" w:customStyle="1" w:styleId="29">
    <w:name w:val="WW8Num1z1"/>
    <w:uiPriority w:val="0"/>
    <w:rPr>
      <w:w w:val="100"/>
      <w:position w:val="-1"/>
      <w:vertAlign w:val="baseline"/>
      <w:cs w:val="0"/>
    </w:rPr>
  </w:style>
  <w:style w:type="character" w:customStyle="1" w:styleId="30">
    <w:name w:val="WW8Num3z1"/>
    <w:uiPriority w:val="0"/>
    <w:rPr>
      <w:rFonts w:hint="default" w:ascii="Courier New" w:hAnsi="Courier New" w:cs="Courier New"/>
      <w:w w:val="100"/>
      <w:position w:val="-1"/>
      <w:vertAlign w:val="baseline"/>
      <w:cs w:val="0"/>
    </w:rPr>
  </w:style>
  <w:style w:type="character" w:customStyle="1" w:styleId="31">
    <w:name w:val="WW8Num3z2"/>
    <w:uiPriority w:val="0"/>
    <w:rPr>
      <w:rFonts w:hint="default" w:ascii="Wingdings" w:hAnsi="Wingdings" w:cs="Wingdings"/>
      <w:w w:val="100"/>
      <w:position w:val="-1"/>
      <w:vertAlign w:val="baseline"/>
      <w:cs w:val="0"/>
    </w:rPr>
  </w:style>
  <w:style w:type="character" w:customStyle="1" w:styleId="32">
    <w:name w:val="Основной шрифт абзаца1"/>
    <w:uiPriority w:val="0"/>
    <w:rPr>
      <w:w w:val="100"/>
      <w:position w:val="-1"/>
      <w:vertAlign w:val="baseline"/>
      <w:cs w:val="0"/>
    </w:rPr>
  </w:style>
  <w:style w:type="character" w:customStyle="1" w:styleId="33">
    <w:name w:val="Основной текст (2)_"/>
    <w:uiPriority w:val="0"/>
    <w:rPr>
      <w:rFonts w:ascii="Arial Narrow" w:hAnsi="Arial Narrow" w:cs="Arial Narrow"/>
      <w:b/>
      <w:w w:val="100"/>
      <w:position w:val="-1"/>
      <w:sz w:val="15"/>
      <w:shd w:val="clear" w:color="auto" w:fill="FFFFFF"/>
      <w:vertAlign w:val="baseline"/>
      <w:cs w:val="0"/>
    </w:rPr>
  </w:style>
  <w:style w:type="character" w:customStyle="1" w:styleId="34">
    <w:name w:val="apple-converted-space"/>
    <w:uiPriority w:val="0"/>
    <w:rPr>
      <w:w w:val="100"/>
      <w:position w:val="-1"/>
      <w:vertAlign w:val="baseline"/>
      <w:cs w:val="0"/>
    </w:rPr>
  </w:style>
  <w:style w:type="character" w:customStyle="1" w:styleId="35">
    <w:name w:val="Основной текст (3) + Не полужирный"/>
    <w:uiPriority w:val="0"/>
    <w:rPr>
      <w:rFonts w:ascii="Times New Roman" w:hAnsi="Times New Roman" w:cs="Times New Roman"/>
      <w:b/>
      <w:color w:val="000000"/>
      <w:spacing w:val="0"/>
      <w:w w:val="100"/>
      <w:position w:val="0"/>
      <w:sz w:val="24"/>
      <w:u w:val="none"/>
      <w:vertAlign w:val="baseline"/>
      <w:cs w:val="0"/>
      <w:lang w:val="uk-UA" w:eastAsia="uk-UA"/>
    </w:rPr>
  </w:style>
  <w:style w:type="character" w:customStyle="1" w:styleId="36">
    <w:name w:val="docdata1"/>
    <w:uiPriority w:val="0"/>
    <w:rPr>
      <w:rFonts w:ascii="Times New Roman" w:hAnsi="Times New Roman" w:cs="Times New Roman"/>
      <w:w w:val="100"/>
      <w:position w:val="-1"/>
      <w:vertAlign w:val="baseline"/>
      <w:cs w:val="0"/>
    </w:rPr>
  </w:style>
  <w:style w:type="character" w:customStyle="1" w:styleId="37">
    <w:name w:val="xfmc2"/>
    <w:uiPriority w:val="0"/>
    <w:rPr>
      <w:w w:val="100"/>
      <w:position w:val="-1"/>
      <w:vertAlign w:val="baseline"/>
      <w:cs w:val="0"/>
    </w:rPr>
  </w:style>
  <w:style w:type="character" w:customStyle="1" w:styleId="38">
    <w:name w:val="Основной текст (2) + Полужирный1"/>
    <w:uiPriority w:val="0"/>
    <w:rPr>
      <w:rFonts w:ascii="Times New Roman" w:hAnsi="Times New Roman" w:cs="Times New Roman"/>
      <w:b/>
      <w:w w:val="100"/>
      <w:position w:val="-1"/>
      <w:sz w:val="28"/>
      <w:u w:val="none"/>
      <w:vertAlign w:val="baseline"/>
      <w:cs w:val="0"/>
    </w:rPr>
  </w:style>
  <w:style w:type="character" w:customStyle="1" w:styleId="39">
    <w:name w:val="Символ нумерації"/>
    <w:uiPriority w:val="0"/>
    <w:rPr>
      <w:w w:val="100"/>
      <w:position w:val="-1"/>
      <w:vertAlign w:val="baseline"/>
      <w:cs w:val="0"/>
    </w:rPr>
  </w:style>
  <w:style w:type="paragraph" w:customStyle="1" w:styleId="40">
    <w:name w:val="Заголовок"/>
    <w:basedOn w:val="1"/>
    <w:next w:val="16"/>
    <w:uiPriority w:val="0"/>
    <w:pPr>
      <w:keepNext/>
      <w:spacing w:before="240" w:after="120"/>
    </w:pPr>
    <w:rPr>
      <w:rFonts w:ascii="Liberation Sans" w:hAnsi="Liberation Sans" w:eastAsia="Microsoft YaHei" w:cs="Arial"/>
      <w:sz w:val="28"/>
      <w:szCs w:val="28"/>
    </w:rPr>
  </w:style>
  <w:style w:type="paragraph" w:customStyle="1" w:styleId="41">
    <w:name w:val="Покажчик"/>
    <w:basedOn w:val="1"/>
    <w:uiPriority w:val="0"/>
    <w:pPr>
      <w:suppressLineNumbers/>
    </w:pPr>
  </w:style>
  <w:style w:type="paragraph" w:customStyle="1" w:styleId="42">
    <w:name w:val="Caption1"/>
    <w:basedOn w:val="1"/>
    <w:uiPriority w:val="0"/>
    <w:pPr>
      <w:suppressLineNumbers/>
      <w:spacing w:before="120" w:after="120"/>
    </w:pPr>
    <w:rPr>
      <w:i/>
      <w:iCs/>
      <w:sz w:val="24"/>
      <w:szCs w:val="24"/>
    </w:rPr>
  </w:style>
  <w:style w:type="paragraph" w:customStyle="1" w:styleId="43">
    <w:name w:val="Caption11"/>
    <w:basedOn w:val="1"/>
    <w:uiPriority w:val="0"/>
    <w:pPr>
      <w:suppressLineNumbers/>
      <w:spacing w:before="120" w:after="120"/>
    </w:pPr>
    <w:rPr>
      <w:i/>
      <w:iCs/>
      <w:sz w:val="24"/>
      <w:szCs w:val="24"/>
    </w:rPr>
  </w:style>
  <w:style w:type="paragraph" w:customStyle="1" w:styleId="44">
    <w:name w:val="Caption111"/>
    <w:basedOn w:val="1"/>
    <w:uiPriority w:val="0"/>
    <w:pPr>
      <w:suppressLineNumbers/>
      <w:spacing w:before="120" w:after="120"/>
    </w:pPr>
    <w:rPr>
      <w:i/>
      <w:iCs/>
      <w:sz w:val="24"/>
      <w:szCs w:val="24"/>
    </w:rPr>
  </w:style>
  <w:style w:type="paragraph" w:customStyle="1" w:styleId="45">
    <w:name w:val="Caption1111"/>
    <w:basedOn w:val="1"/>
    <w:uiPriority w:val="0"/>
    <w:pPr>
      <w:suppressLineNumbers/>
      <w:spacing w:before="120" w:after="120"/>
    </w:pPr>
    <w:rPr>
      <w:i/>
      <w:iCs/>
      <w:sz w:val="24"/>
      <w:szCs w:val="24"/>
    </w:rPr>
  </w:style>
  <w:style w:type="paragraph" w:customStyle="1" w:styleId="46">
    <w:name w:val="Caption11111"/>
    <w:basedOn w:val="1"/>
    <w:uiPriority w:val="0"/>
    <w:pPr>
      <w:suppressLineNumbers/>
      <w:spacing w:before="120" w:after="120"/>
    </w:pPr>
    <w:rPr>
      <w:i/>
      <w:iCs/>
      <w:sz w:val="24"/>
      <w:szCs w:val="24"/>
    </w:rPr>
  </w:style>
  <w:style w:type="paragraph" w:customStyle="1" w:styleId="47">
    <w:name w:val="Текст1"/>
    <w:basedOn w:val="1"/>
    <w:uiPriority w:val="0"/>
    <w:rPr>
      <w:rFonts w:ascii="Courier New" w:hAnsi="Courier New" w:cs="Courier New"/>
    </w:rPr>
  </w:style>
  <w:style w:type="paragraph" w:customStyle="1" w:styleId="48">
    <w:name w:val="Верхній і нижній колонтитули"/>
    <w:basedOn w:val="1"/>
    <w:uiPriority w:val="0"/>
    <w:pPr>
      <w:suppressLineNumbers/>
      <w:tabs>
        <w:tab w:val="center" w:pos="4819"/>
        <w:tab w:val="right" w:pos="9638"/>
      </w:tabs>
    </w:pPr>
  </w:style>
  <w:style w:type="paragraph" w:customStyle="1" w:styleId="49">
    <w:name w:val="Стандартный HTML1"/>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eastAsia="SimSun" w:cs="SimSun"/>
      <w:sz w:val="24"/>
      <w:szCs w:val="24"/>
      <w:lang w:val="en-US" w:eastAsia="zh-CN"/>
    </w:rPr>
  </w:style>
  <w:style w:type="paragraph" w:customStyle="1" w:styleId="50">
    <w:name w:val="Style5"/>
    <w:basedOn w:val="1"/>
    <w:uiPriority w:val="0"/>
    <w:pPr>
      <w:widowControl w:val="0"/>
      <w:autoSpaceDE w:val="0"/>
    </w:pPr>
    <w:rPr>
      <w:sz w:val="24"/>
      <w:szCs w:val="24"/>
    </w:rPr>
  </w:style>
  <w:style w:type="paragraph" w:customStyle="1" w:styleId="51">
    <w:name w:val="Основной текст (2)"/>
    <w:basedOn w:val="1"/>
    <w:uiPriority w:val="0"/>
    <w:pPr>
      <w:shd w:val="clear" w:color="auto" w:fill="FFFFFF"/>
      <w:spacing w:line="240" w:lineRule="atLeast"/>
    </w:pPr>
    <w:rPr>
      <w:rFonts w:ascii="Arial Narrow" w:hAnsi="Arial Narrow" w:eastAsia="SimSun" w:cs="Arial Narrow"/>
      <w:b/>
      <w:sz w:val="15"/>
      <w:shd w:val="clear" w:color="auto" w:fill="FFFFFF"/>
      <w:lang w:val="uk-UA" w:eastAsia="uk-UA"/>
    </w:rPr>
  </w:style>
  <w:style w:type="paragraph" w:customStyle="1" w:styleId="52">
    <w:name w:val="List Paragraph1"/>
    <w:basedOn w:val="1"/>
    <w:uiPriority w:val="0"/>
    <w:pPr>
      <w:spacing w:after="200" w:line="276" w:lineRule="auto"/>
      <w:ind w:left="720" w:firstLine="0"/>
      <w:contextualSpacing/>
    </w:pPr>
    <w:rPr>
      <w:rFonts w:ascii="Calibri" w:hAnsi="Calibri" w:eastAsia="SimSun" w:cs="Calibri"/>
      <w:sz w:val="22"/>
      <w:szCs w:val="22"/>
      <w:lang w:eastAsia="en-US"/>
    </w:rPr>
  </w:style>
  <w:style w:type="paragraph" w:customStyle="1" w:styleId="53">
    <w:name w:val="2034"/>
    <w:basedOn w:val="1"/>
    <w:uiPriority w:val="0"/>
    <w:pPr>
      <w:spacing w:before="100" w:after="100"/>
    </w:pPr>
    <w:rPr>
      <w:sz w:val="24"/>
      <w:szCs w:val="24"/>
    </w:rPr>
  </w:style>
  <w:style w:type="paragraph" w:customStyle="1" w:styleId="54">
    <w:name w:val="2057"/>
    <w:basedOn w:val="1"/>
    <w:uiPriority w:val="0"/>
    <w:pPr>
      <w:spacing w:before="100" w:after="100"/>
    </w:pPr>
    <w:rPr>
      <w:sz w:val="24"/>
      <w:szCs w:val="24"/>
    </w:rPr>
  </w:style>
  <w:style w:type="paragraph" w:customStyle="1" w:styleId="55">
    <w:name w:val="Table Paragraph"/>
    <w:basedOn w:val="1"/>
    <w:uiPriority w:val="0"/>
    <w:pPr>
      <w:widowControl w:val="0"/>
      <w:autoSpaceDE w:val="0"/>
    </w:pPr>
    <w:rPr>
      <w:sz w:val="22"/>
      <w:szCs w:val="22"/>
      <w:lang w:val="en-US" w:eastAsia="en-US"/>
    </w:rPr>
  </w:style>
  <w:style w:type="paragraph" w:customStyle="1" w:styleId="56">
    <w:name w:val="Вміст таблиці"/>
    <w:basedOn w:val="1"/>
    <w:uiPriority w:val="0"/>
    <w:pPr>
      <w:widowControl w:val="0"/>
      <w:suppressLineNumbers/>
    </w:pPr>
  </w:style>
  <w:style w:type="paragraph" w:customStyle="1" w:styleId="57">
    <w:name w:val="Заголовок таблиці"/>
    <w:basedOn w:val="56"/>
    <w:uiPriority w:val="0"/>
    <w:pPr>
      <w:jc w:val="center"/>
    </w:pPr>
    <w:rPr>
      <w:b/>
      <w:bCs/>
    </w:rPr>
  </w:style>
  <w:style w:type="paragraph" w:customStyle="1" w:styleId="58">
    <w:name w:val="Вміст рамки"/>
    <w:basedOn w:val="1"/>
    <w:uiPriority w:val="0"/>
  </w:style>
  <w:style w:type="table" w:customStyle="1" w:styleId="59">
    <w:name w:val="_Style 40"/>
    <w:basedOn w:val="23"/>
    <w:uiPriority w:val="0"/>
    <w:pPr>
      <w:suppressAutoHyphens/>
      <w:spacing w:line="1" w:lineRule="atLeast"/>
      <w:ind w:left="-1" w:leftChars="-1" w:hanging="1" w:hangingChars="1"/>
      <w:textAlignment w:val="top"/>
      <w:outlineLvl w:val="0"/>
    </w:pPr>
    <w:rPr>
      <w:position w:val="-1"/>
    </w:rPr>
    <w:tblPr>
      <w:tblCellMar>
        <w:top w:w="0" w:type="dxa"/>
        <w:left w:w="115" w:type="dxa"/>
        <w:bottom w:w="0" w:type="dxa"/>
        <w:right w:w="115" w:type="dxa"/>
      </w:tblCellMar>
    </w:tblPr>
  </w:style>
  <w:style w:type="table" w:customStyle="1" w:styleId="60">
    <w:name w:val="_Style 60"/>
    <w:basedOn w:val="23"/>
    <w:qFormat/>
    <w:uiPriority w:val="0"/>
    <w:tblPr>
      <w:tblCellMar>
        <w:top w:w="0" w:type="dxa"/>
        <w:left w:w="108" w:type="dxa"/>
        <w:bottom w:w="0" w:type="dxa"/>
        <w:right w:w="108" w:type="dxa"/>
      </w:tblCellMar>
    </w:tblPr>
  </w:style>
  <w:style w:type="table" w:customStyle="1" w:styleId="61">
    <w:name w:val="_Style 61"/>
    <w:basedOn w:val="23"/>
    <w:qFormat/>
    <w:uiPriority w:val="0"/>
    <w:tblPr>
      <w:tblCellMar>
        <w:top w:w="0" w:type="dxa"/>
        <w:left w:w="108" w:type="dxa"/>
        <w:bottom w:w="0" w:type="dxa"/>
        <w:right w:w="108" w:type="dxa"/>
      </w:tblCellMar>
    </w:tblPr>
  </w:style>
  <w:style w:type="table" w:customStyle="1" w:styleId="62">
    <w:name w:val="_Style 62"/>
    <w:basedOn w:val="23"/>
    <w:qFormat/>
    <w:uiPriority w:val="0"/>
    <w:tblPr>
      <w:tblCellMar>
        <w:top w:w="0" w:type="dxa"/>
        <w:left w:w="108" w:type="dxa"/>
        <w:bottom w:w="0" w:type="dxa"/>
        <w:right w:w="108" w:type="dxa"/>
      </w:tblCellMar>
    </w:tblPr>
  </w:style>
  <w:style w:type="table" w:customStyle="1" w:styleId="63">
    <w:name w:val="_Style 63"/>
    <w:basedOn w:val="23"/>
    <w:qFormat/>
    <w:uiPriority w:val="0"/>
    <w:tblPr>
      <w:tblCellMar>
        <w:top w:w="55" w:type="dxa"/>
        <w:left w:w="55" w:type="dxa"/>
        <w:bottom w:w="55" w:type="dxa"/>
        <w:right w:w="55" w:type="dxa"/>
      </w:tblCellMar>
    </w:tblPr>
  </w:style>
  <w:style w:type="table" w:customStyle="1" w:styleId="64">
    <w:name w:val="_Style 64"/>
    <w:basedOn w:val="23"/>
    <w:qFormat/>
    <w:uiPriority w:val="0"/>
    <w:tblPr>
      <w:tblCellMar>
        <w:top w:w="55" w:type="dxa"/>
        <w:left w:w="55" w:type="dxa"/>
        <w:bottom w:w="55" w:type="dxa"/>
        <w:right w:w="55" w:type="dxa"/>
      </w:tblCellMar>
    </w:tblPr>
  </w:style>
  <w:style w:type="table" w:customStyle="1" w:styleId="65">
    <w:name w:val="_Style 65"/>
    <w:basedOn w:val="23"/>
    <w:qFormat/>
    <w:uiPriority w:val="0"/>
    <w:tblPr>
      <w:tblCellMar>
        <w:top w:w="0" w:type="dxa"/>
        <w:left w:w="115" w:type="dxa"/>
        <w:bottom w:w="0" w:type="dxa"/>
        <w:right w:w="115" w:type="dxa"/>
      </w:tblCellMar>
    </w:tblPr>
  </w:style>
  <w:style w:type="table" w:customStyle="1" w:styleId="66">
    <w:name w:val="_Style 66"/>
    <w:basedOn w:val="23"/>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KxkVgu6SXUx+/OsBkj6Ec4piA==">CgMxLjA4AHIhMV8wODVuZzV2Y1VaMWw1WU1kSVNxMGJ6a0RrWDN5cEZV</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9</Pages>
  <Words>11770</Words>
  <Characters>6710</Characters>
  <Lines>55</Lines>
  <Paragraphs>36</Paragraphs>
  <TotalTime>3</TotalTime>
  <ScaleCrop>false</ScaleCrop>
  <LinksUpToDate>false</LinksUpToDate>
  <CharactersWithSpaces>18444</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2026-01-25T13:13:00Z</dcterms:created>
  <dc:creator>ADMIN</dc:creator>
  <cp:lastModifiedBy>sliepykh.kateryna</cp:lastModifiedBy>
  <dcterms:modified xsi:type="dcterms:W3CDTF">2026-01-26T14:07:27Z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