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14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PJSC  “Higher Educational Institution </w:t>
      </w:r>
    </w:p>
    <w:p w:rsidR="00000000" w:rsidDel="00000000" w:rsidP="00000000" w:rsidRDefault="00000000" w:rsidRPr="00000000" w14:paraId="00000002">
      <w:pPr>
        <w:widowControl w:val="0"/>
        <w:spacing w:line="240" w:lineRule="auto"/>
        <w:ind w:right="14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widowControl w:val="0"/>
        <w:spacing w:line="240" w:lineRule="auto"/>
        <w:ind w:right="14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690880" cy="817245"/>
            <wp:effectExtent b="0" l="0" r="0" t="0"/>
            <wp:docPr descr="A black and white logo&#10;&#10;AI-generated content may be incorrect." id="1156902792"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r>
    </w:p>
    <w:p w:rsidR="00000000" w:rsidDel="00000000" w:rsidP="00000000" w:rsidRDefault="00000000" w:rsidRPr="00000000" w14:paraId="0000000A">
      <w:pPr>
        <w:pStyle w:val="Heading2"/>
        <w:keepNext w:val="0"/>
        <w:widowControl w:val="0"/>
        <w:numPr>
          <w:ilvl w:val="0"/>
          <w:numId w:val="2"/>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widowControl w:val="0"/>
        <w:spacing w:line="240" w:lineRule="auto"/>
        <w:ind w:right="14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D">
      <w:pPr>
        <w:widowControl w:val="0"/>
        <w:spacing w:line="240" w:lineRule="auto"/>
        <w:ind w:right="14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FINANCE, MONEY AND CREDIT</w:t>
      </w:r>
      <w:r w:rsidDel="00000000" w:rsidR="00000000" w:rsidRPr="00000000">
        <w:rPr>
          <w:rtl w:val="0"/>
        </w:rPr>
      </w:r>
    </w:p>
    <w:p w:rsidR="00000000" w:rsidDel="00000000" w:rsidP="00000000" w:rsidRDefault="00000000" w:rsidRPr="00000000" w14:paraId="0000000E">
      <w:pPr>
        <w:widowControl w:val="0"/>
        <w:spacing w:line="240" w:lineRule="auto"/>
        <w:ind w:right="14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Sp</w:t>
            </w:r>
            <w:r w:rsidDel="00000000" w:rsidR="00000000" w:rsidRPr="00000000">
              <w:rPr>
                <w:rFonts w:ascii="Times New Roman" w:cs="Times New Roman" w:eastAsia="Times New Roman" w:hAnsi="Times New Roman"/>
                <w:b w:val="1"/>
                <w:bCs w:val="1"/>
                <w:sz w:val="28"/>
                <w:szCs w:val="28"/>
                <w:rtl w:val="0"/>
              </w:rPr>
              <w:t xml:space="preserve">ec</w:t>
            </w:r>
            <w:r w:rsidDel="00000000" w:rsidR="00000000" w:rsidRPr="00000000">
              <w:rPr>
                <w:rFonts w:ascii="Times New Roman" w:cs="Times New Roman" w:eastAsia="Times New Roman" w:hAnsi="Times New Roman"/>
                <w:b w:val="1"/>
                <w:bCs w:val="1"/>
                <w:color w:val="000000"/>
                <w:sz w:val="28"/>
                <w:szCs w:val="28"/>
                <w:rtl w:val="0"/>
              </w:rPr>
              <w:t xml:space="preserve">ialty:</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r w:rsidDel="00000000" w:rsidR="00000000" w:rsidRPr="00000000">
              <w:rPr>
                <w:rtl w:val="0"/>
              </w:rPr>
            </w:r>
          </w:p>
        </w:tc>
        <w:tc>
          <w:tcPr/>
          <w:p w:rsidR="00000000" w:rsidDel="00000000" w:rsidP="00000000" w:rsidRDefault="00000000" w:rsidRPr="00000000" w14:paraId="0000001A">
            <w:pPr>
              <w:pStyle w:val="Heading2"/>
              <w:keepNext w:val="0"/>
              <w:widowControl w:val="0"/>
              <w:spacing w:after="0" w:before="0" w:lineRule="auto"/>
              <w:ind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1C">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widowControl w:val="0"/>
        <w:spacing w:line="240" w:lineRule="auto"/>
        <w:ind w:right="1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r>
    </w:p>
    <w:p w:rsidR="00000000" w:rsidDel="00000000" w:rsidP="00000000" w:rsidRDefault="00000000" w:rsidRPr="00000000" w14:paraId="0000001E">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widowControl w:val="0"/>
        <w:spacing w:line="240" w:lineRule="auto"/>
        <w:ind w:right="1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020">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widowControl w:val="0"/>
        <w:spacing w:line="240" w:lineRule="auto"/>
        <w:ind w:right="14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br w:type="textWrapping"/>
        <w:br w:type="textWrapping"/>
        <w:br w:type="textWrapping"/>
        <w:br w:type="textWrapping"/>
      </w:r>
    </w:p>
    <w:p w:rsidR="00000000" w:rsidDel="00000000" w:rsidP="00000000" w:rsidRDefault="00000000" w:rsidRPr="00000000" w14:paraId="00000023">
      <w:pPr>
        <w:widowControl w:val="0"/>
        <w:spacing w:line="240" w:lineRule="auto"/>
        <w:ind w:right="14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2025</w:t>
      </w:r>
    </w:p>
    <w:p w:rsidR="00000000" w:rsidDel="00000000" w:rsidP="00000000" w:rsidRDefault="00000000" w:rsidRPr="00000000" w14:paraId="00000024">
      <w:pPr>
        <w:widowControl w:val="0"/>
        <w:spacing w:line="240" w:lineRule="auto"/>
        <w:ind w:right="1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line="240" w:lineRule="auto"/>
        <w:ind w:right="14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information about the academic discipline</w:t>
      </w:r>
    </w:p>
    <w:p w:rsidR="00000000" w:rsidDel="00000000" w:rsidP="00000000" w:rsidRDefault="00000000" w:rsidRPr="00000000" w14:paraId="0000002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6"/>
        <w:gridCol w:w="5532"/>
        <w:tblGridChange w:id="0">
          <w:tblGrid>
            <w:gridCol w:w="4096"/>
            <w:gridCol w:w="5532"/>
          </w:tblGrid>
        </w:tblGridChange>
      </w:tblGrid>
      <w:tr>
        <w:trPr>
          <w:cantSplit w:val="0"/>
          <w:tblHeader w:val="0"/>
        </w:trPr>
        <w:tc>
          <w:tcPr/>
          <w:p w:rsidR="00000000" w:rsidDel="00000000" w:rsidP="00000000" w:rsidRDefault="00000000" w:rsidRPr="00000000" w14:paraId="00000028">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p w:rsidR="00000000" w:rsidDel="00000000" w:rsidP="00000000" w:rsidRDefault="00000000" w:rsidRPr="00000000" w14:paraId="00000029">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Finance, money and credit</w:t>
            </w:r>
          </w:p>
        </w:tc>
      </w:tr>
      <w:tr>
        <w:trPr>
          <w:cantSplit w:val="0"/>
          <w:tblHeader w:val="0"/>
        </w:trPr>
        <w:tc>
          <w:tcPr/>
          <w:p w:rsidR="00000000" w:rsidDel="00000000" w:rsidP="00000000" w:rsidRDefault="00000000" w:rsidRPr="00000000" w14:paraId="0000002A">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p w:rsidR="00000000" w:rsidDel="00000000" w:rsidP="00000000" w:rsidRDefault="00000000" w:rsidRPr="00000000" w14:paraId="0000002B">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2C">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p w:rsidR="00000000" w:rsidDel="00000000" w:rsidP="00000000" w:rsidRDefault="00000000" w:rsidRPr="00000000" w14:paraId="0000002D">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(bachelor's) level</w:t>
            </w:r>
          </w:p>
        </w:tc>
      </w:tr>
      <w:tr>
        <w:trPr>
          <w:cantSplit w:val="0"/>
          <w:tblHeader w:val="0"/>
        </w:trPr>
        <w:tc>
          <w:tcPr/>
          <w:p w:rsidR="00000000" w:rsidDel="00000000" w:rsidP="00000000" w:rsidRDefault="00000000" w:rsidRPr="00000000" w14:paraId="0000002E">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p w:rsidR="00000000" w:rsidDel="00000000" w:rsidP="00000000" w:rsidRDefault="00000000" w:rsidRPr="00000000" w14:paraId="0000002F">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blHeader w:val="0"/>
        </w:trPr>
        <w:tc>
          <w:tcPr/>
          <w:p w:rsidR="00000000" w:rsidDel="00000000" w:rsidP="00000000" w:rsidRDefault="00000000" w:rsidRPr="00000000" w14:paraId="00000030">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p w:rsidR="00000000" w:rsidDel="00000000" w:rsidP="00000000" w:rsidRDefault="00000000" w:rsidRPr="00000000" w14:paraId="00000031">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credits/90 hours</w:t>
            </w:r>
          </w:p>
          <w:p w:rsidR="00000000" w:rsidDel="00000000" w:rsidP="00000000" w:rsidRDefault="00000000" w:rsidRPr="00000000" w14:paraId="00000032">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18 hours</w:t>
            </w:r>
          </w:p>
          <w:p w:rsidR="00000000" w:rsidDel="00000000" w:rsidP="00000000" w:rsidRDefault="00000000" w:rsidRPr="00000000" w14:paraId="00000033">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Practical classes: 18 hours</w:t>
            </w:r>
          </w:p>
          <w:p w:rsidR="00000000" w:rsidDel="00000000" w:rsidP="00000000" w:rsidRDefault="00000000" w:rsidRPr="00000000" w14:paraId="00000034">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independent work: 54 hours</w:t>
            </w:r>
          </w:p>
        </w:tc>
      </w:tr>
      <w:tr>
        <w:trPr>
          <w:cantSplit w:val="0"/>
          <w:tblHeader w:val="0"/>
        </w:trPr>
        <w:tc>
          <w:tcPr/>
          <w:p w:rsidR="00000000" w:rsidDel="00000000" w:rsidP="00000000" w:rsidRDefault="00000000" w:rsidRPr="00000000" w14:paraId="00000035">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p w:rsidR="00000000" w:rsidDel="00000000" w:rsidP="00000000" w:rsidRDefault="00000000" w:rsidRPr="00000000" w14:paraId="00000036">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semester</w:t>
            </w:r>
          </w:p>
        </w:tc>
      </w:tr>
      <w:tr>
        <w:trPr>
          <w:cantSplit w:val="0"/>
          <w:tblHeader w:val="0"/>
        </w:trPr>
        <w:tc>
          <w:tcPr/>
          <w:p w:rsidR="00000000" w:rsidDel="00000000" w:rsidP="00000000" w:rsidRDefault="00000000" w:rsidRPr="00000000" w14:paraId="00000037">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p w:rsidR="00000000" w:rsidDel="00000000" w:rsidP="00000000" w:rsidRDefault="00000000" w:rsidRPr="00000000" w14:paraId="00000038">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blHeader w:val="0"/>
        </w:trPr>
        <w:tc>
          <w:tcPr/>
          <w:p w:rsidR="00000000" w:rsidDel="00000000" w:rsidP="00000000" w:rsidRDefault="00000000" w:rsidRPr="00000000" w14:paraId="00000039">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p w:rsidR="00000000" w:rsidDel="00000000" w:rsidP="00000000" w:rsidRDefault="00000000" w:rsidRPr="00000000" w14:paraId="0000003A">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academic discipline "Finance, money and credit"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aims to provide students with knowledge of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theoretical, methodological and methodological foundations of the development of the monetary system and money circulation, financial, credit and currency systems.</w:t>
      </w:r>
      <w:r w:rsidDel="00000000" w:rsidR="00000000" w:rsidRPr="00000000">
        <w:rPr>
          <w:rtl w:val="0"/>
        </w:rPr>
      </w:r>
    </w:p>
    <w:p w:rsidR="00000000" w:rsidDel="00000000" w:rsidP="00000000" w:rsidRDefault="00000000" w:rsidRPr="00000000" w14:paraId="00000053">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course covers the main provisions regarding </w:t>
      </w:r>
      <w:r w:rsidDel="00000000" w:rsidR="00000000" w:rsidRPr="00000000">
        <w:rPr>
          <w:rFonts w:ascii="Times New Roman" w:cs="Times New Roman" w:eastAsia="Times New Roman" w:hAnsi="Times New Roman"/>
          <w:color w:val="000000"/>
          <w:sz w:val="28"/>
          <w:szCs w:val="28"/>
          <w:highlight w:val="white"/>
          <w:rtl w:val="0"/>
        </w:rPr>
        <w:t xml:space="preserve">financial processes, information support and the ability to effectively use modern monetary and credit instruments in the practical activities of a manager</w:t>
      </w:r>
      <w:r w:rsidDel="00000000" w:rsidR="00000000" w:rsidRPr="00000000">
        <w:rPr>
          <w:rFonts w:ascii="Times New Roman" w:cs="Times New Roman" w:eastAsia="Times New Roman" w:hAnsi="Times New Roman"/>
          <w:sz w:val="28"/>
          <w:szCs w:val="28"/>
          <w:rtl w:val="0"/>
        </w:rPr>
        <w:t xml:space="preserve">. The discipline includes the study </w:t>
      </w:r>
      <w:r w:rsidDel="00000000" w:rsidR="00000000" w:rsidRPr="00000000">
        <w:rPr>
          <w:rFonts w:ascii="Times New Roman" w:cs="Times New Roman" w:eastAsia="Times New Roman" w:hAnsi="Times New Roman"/>
          <w:color w:val="000000"/>
          <w:sz w:val="28"/>
          <w:szCs w:val="28"/>
          <w:highlight w:val="white"/>
          <w:rtl w:val="0"/>
        </w:rPr>
        <w:t xml:space="preserve">of finance, money, money circulation, credit relations, the banking system of Ukraine, the principles of banking institutions' work with clients, currency transactions, insurance, and the financial market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Therefore, the academic discipline "Finance, money and credit" plays an important role in the training of highly qualified bachelors in management.</w:t>
      </w:r>
      <w:r w:rsidDel="00000000" w:rsidR="00000000" w:rsidRPr="00000000">
        <w:rPr>
          <w:rtl w:val="0"/>
        </w:rPr>
      </w:r>
    </w:p>
    <w:p w:rsidR="00000000" w:rsidDel="00000000" w:rsidP="00000000" w:rsidRDefault="00000000" w:rsidRPr="00000000" w14:paraId="00000054">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the discipline: </w:t>
      </w:r>
      <w:r w:rsidDel="00000000" w:rsidR="00000000" w:rsidRPr="00000000">
        <w:rPr>
          <w:rFonts w:ascii="Times New Roman" w:cs="Times New Roman" w:eastAsia="Times New Roman" w:hAnsi="Times New Roman"/>
          <w:sz w:val="28"/>
          <w:szCs w:val="28"/>
          <w:rtl w:val="0"/>
        </w:rPr>
        <w:t xml:space="preserve">the financial system, financial mechanism and monetary and credit system of the state.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provide students with systematic knowledge of the theoretical and methodological foundations and organisational and legal mechanisms of the functioning of finance, money, credit and banks in a market economy. </w:t>
      </w:r>
    </w:p>
    <w:p w:rsidR="00000000" w:rsidDel="00000000" w:rsidP="00000000" w:rsidRDefault="00000000" w:rsidRPr="00000000" w14:paraId="00000058">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widowControl w:val="0"/>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familiarise students with finance as a set of monetary relations related to the formation, mobilisation and allocation of financial resources, as well as with the essence, functions and role of money and credit.</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develop the ability to analyse the patterns of functioning of the currency market and currency system, money and credit markets.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develop skills in interacting with commercial banks and insurance companies both as individuals and as representatives of legal entities (enterprises and institutions).</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 students to use financial instruments, work in the cashless payment system, and conduct cash transactions.</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Acquire practical skills in shaping a company's financial policy.</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14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hpvh9y1zsq1c"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the ability </w:t>
      </w:r>
      <w:r w:rsidDel="00000000" w:rsidR="00000000" w:rsidRPr="00000000">
        <w:rPr>
          <w:rFonts w:ascii="Times New Roman" w:cs="Times New Roman" w:eastAsia="Times New Roman" w:hAnsi="Times New Roman"/>
          <w:sz w:val="28"/>
          <w:szCs w:val="28"/>
          <w:rtl w:val="0"/>
        </w:rPr>
        <w:t xml:space="preserve">to determine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indicators of money supply, monetary base, money-credit multiplier, inflation rate, price index, indicators of commercial banks' currency transactions, open currency position, etc.</w:t>
      </w:r>
    </w:p>
    <w:p w:rsidR="00000000" w:rsidDel="00000000" w:rsidP="00000000" w:rsidRDefault="00000000" w:rsidRPr="00000000" w14:paraId="00000060">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discipline: </w:t>
      </w:r>
    </w:p>
    <w:p w:rsidR="00000000" w:rsidDel="00000000" w:rsidP="00000000" w:rsidRDefault="00000000" w:rsidRPr="00000000" w14:paraId="00000062">
      <w:pPr>
        <w:widowControl w:val="0"/>
        <w:spacing w:line="240" w:lineRule="auto"/>
        <w:ind w:right="140"/>
        <w:jc w:val="both"/>
        <w:rPr>
          <w:rFonts w:ascii="Times New Roman" w:cs="Times New Roman" w:eastAsia="Times New Roman" w:hAnsi="Times New Roman"/>
          <w:b w:val="1"/>
          <w:bCs w:val="1"/>
          <w:sz w:val="28"/>
          <w:szCs w:val="28"/>
        </w:rPr>
      </w:pPr>
      <w:bookmarkStart w:colFirst="0" w:colLast="0" w:name="_heading=h.7j9rw7n7e99j" w:id="1"/>
      <w:bookmarkEnd w:id="1"/>
      <w:r w:rsidDel="00000000" w:rsidR="00000000" w:rsidRPr="00000000">
        <w:rPr>
          <w:rFonts w:ascii="Times New Roman" w:cs="Times New Roman" w:eastAsia="Times New Roman" w:hAnsi="Times New Roman"/>
          <w:sz w:val="28"/>
          <w:szCs w:val="28"/>
          <w:rtl w:val="0"/>
        </w:rPr>
        <w:t xml:space="preserve">The study of the academic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sz w:val="28"/>
          <w:szCs w:val="28"/>
          <w:rtl w:val="0"/>
        </w:rPr>
        <w:t xml:space="preserve">" is based on the knowledge and skills acquired by students in the following disciplines: </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Jurisprudence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"Statistics", "Digital Technologies in Management", "Economic Theory", "Business Economics".</w:t>
      </w:r>
      <w:r w:rsidDel="00000000" w:rsidR="00000000" w:rsidRPr="00000000">
        <w:rPr>
          <w:rtl w:val="0"/>
        </w:rPr>
      </w:r>
    </w:p>
    <w:p w:rsidR="00000000" w:rsidDel="00000000" w:rsidP="00000000" w:rsidRDefault="00000000" w:rsidRPr="00000000" w14:paraId="00000063">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4">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discipline:</w:t>
      </w:r>
    </w:p>
    <w:p w:rsidR="00000000" w:rsidDel="00000000" w:rsidP="00000000" w:rsidRDefault="00000000" w:rsidRPr="00000000" w14:paraId="00000065">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knowledge, skills and competences acquired within the framework of this discipline form the basis for professional activity, independent learning and further development.</w:t>
      </w:r>
    </w:p>
    <w:p w:rsidR="00000000" w:rsidDel="00000000" w:rsidP="00000000" w:rsidRDefault="00000000" w:rsidRPr="00000000" w14:paraId="00000066">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competences:</w:t>
      </w:r>
    </w:p>
    <w:p w:rsidR="00000000" w:rsidDel="00000000" w:rsidP="00000000" w:rsidRDefault="00000000" w:rsidRPr="00000000" w14:paraId="00000068">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
        <w:tblW w:w="9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083"/>
        <w:tblGridChange w:id="0">
          <w:tblGrid>
            <w:gridCol w:w="2405"/>
            <w:gridCol w:w="7083"/>
          </w:tblGrid>
        </w:tblGridChange>
      </w:tblGrid>
      <w:tr>
        <w:trPr>
          <w:cantSplit w:val="0"/>
          <w:trHeight w:val="978" w:hRule="atLeast"/>
          <w:tblHeader w:val="0"/>
        </w:trPr>
        <w:tc>
          <w:tcPr/>
          <w:p w:rsidR="00000000" w:rsidDel="00000000" w:rsidP="00000000" w:rsidRDefault="00000000" w:rsidRPr="00000000" w14:paraId="00000069">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competences</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GC4. Ability to apply knowledge in practical situations.</w:t>
            </w:r>
          </w:p>
          <w:p w:rsidR="00000000" w:rsidDel="00000000" w:rsidP="00000000" w:rsidRDefault="00000000" w:rsidRPr="00000000" w14:paraId="0000006B">
            <w:pPr>
              <w:widowControl w:val="0"/>
              <w:spacing w:line="240" w:lineRule="auto"/>
              <w:ind w:right="1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GC5. Knowledge and understanding of the subject area and professional activity </w:t>
            </w:r>
          </w:p>
          <w:p w:rsidR="00000000" w:rsidDel="00000000" w:rsidP="00000000" w:rsidRDefault="00000000" w:rsidRPr="00000000" w14:paraId="0000006C">
            <w:pPr>
              <w:widowControl w:val="0"/>
              <w:spacing w:line="240" w:lineRule="auto"/>
              <w:ind w:right="1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GC9. Ability to learn and acquire up-to-date knowledge.</w:t>
            </w:r>
          </w:p>
          <w:p w:rsidR="00000000" w:rsidDel="00000000" w:rsidP="00000000" w:rsidRDefault="00000000" w:rsidRPr="00000000" w14:paraId="0000006D">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GC11. </w:t>
            </w:r>
            <w:r w:rsidDel="00000000" w:rsidR="00000000" w:rsidRPr="00000000">
              <w:rPr>
                <w:rFonts w:ascii="Times New Roman" w:cs="Times New Roman" w:eastAsia="Times New Roman" w:hAnsi="Times New Roman"/>
                <w:color w:val="000000"/>
                <w:sz w:val="28"/>
                <w:szCs w:val="28"/>
                <w:rtl w:val="0"/>
              </w:rPr>
              <w:t xml:space="preserve">Ability to adapt and act in new situations</w:t>
            </w:r>
            <w:r w:rsidDel="00000000" w:rsidR="00000000" w:rsidRPr="00000000">
              <w:rPr>
                <w:rtl w:val="0"/>
              </w:rPr>
            </w:r>
          </w:p>
        </w:tc>
      </w:tr>
      <w:tr>
        <w:trPr>
          <w:cantSplit w:val="0"/>
          <w:tblHeader w:val="0"/>
        </w:trPr>
        <w:tc>
          <w:tcPr/>
          <w:p w:rsidR="00000000" w:rsidDel="00000000" w:rsidP="00000000" w:rsidRDefault="00000000" w:rsidRPr="00000000" w14:paraId="0000006E">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w:t>
            </w:r>
            <w:r w:rsidDel="00000000" w:rsidR="00000000" w:rsidRPr="00000000">
              <w:rPr>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competences</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SC13. Understanding the principles and norms of law and the ability to apply them in professional activities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SC17. Ability to independently identify economic problems and propose ways to solve them for analysis, forecasting, planning and optimization in management</w:t>
            </w:r>
            <w:r w:rsidDel="00000000" w:rsidR="00000000" w:rsidRPr="00000000">
              <w:rPr>
                <w:rtl w:val="0"/>
              </w:rPr>
            </w:r>
          </w:p>
        </w:tc>
      </w:tr>
      <w:tr>
        <w:trPr>
          <w:cantSplit w:val="0"/>
          <w:tblHeader w:val="0"/>
        </w:trPr>
        <w:tc>
          <w:tcPr/>
          <w:p w:rsidR="00000000" w:rsidDel="00000000" w:rsidP="00000000" w:rsidRDefault="00000000" w:rsidRPr="00000000" w14:paraId="00000071">
            <w:pPr>
              <w:widowControl w:val="0"/>
              <w:spacing w:line="240" w:lineRule="auto"/>
              <w:ind w:right="140"/>
              <w:jc w:val="both"/>
              <w:rPr>
                <w:rFonts w:ascii="Times New Roman" w:cs="Times New Roman" w:eastAsia="Times New Roman" w:hAnsi="Times New Roman"/>
                <w:b w:val="1"/>
                <w:bCs w:val="1"/>
                <w:i w:val="1"/>
                <w:iCs w:val="1"/>
                <w:color w:val="ff0000"/>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2">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73">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ILO11. Demonstrate the ability to analyze situations and communicate effectively across various areas of organizational activity.</w:t>
            </w:r>
            <w:r w:rsidDel="00000000" w:rsidR="00000000" w:rsidRPr="00000000">
              <w:rPr>
                <w:rtl w:val="0"/>
              </w:rPr>
            </w:r>
          </w:p>
          <w:p w:rsidR="00000000" w:rsidDel="00000000" w:rsidP="00000000" w:rsidRDefault="00000000" w:rsidRPr="00000000" w14:paraId="00000074">
            <w:pPr>
              <w:widowControl w:val="0"/>
              <w:spacing w:line="240" w:lineRule="auto"/>
              <w:ind w:right="140"/>
              <w:jc w:val="both"/>
              <w:rPr>
                <w:rFonts w:ascii="Times New Roman" w:cs="Times New Roman" w:eastAsia="Times New Roman" w:hAnsi="Times New Roman"/>
                <w:sz w:val="28"/>
                <w:szCs w:val="28"/>
              </w:rPr>
            </w:pPr>
            <w:bookmarkStart w:colFirst="0" w:colLast="0" w:name="_heading=h.uoyorbhwi1b5" w:id="2"/>
            <w:bookmarkEnd w:id="2"/>
            <w:r w:rsidDel="00000000" w:rsidR="00000000" w:rsidRPr="00000000">
              <w:rPr>
                <w:rFonts w:ascii="Times New Roman" w:cs="Times New Roman" w:eastAsia="Times New Roman" w:hAnsi="Times New Roman"/>
                <w:color w:val="000000"/>
                <w:sz w:val="28"/>
                <w:szCs w:val="28"/>
                <w:rtl w:val="0"/>
              </w:rPr>
              <w:t xml:space="preserve">ILO18. Demonstrate skills in analyzing the effectiveness of management of operational, marketing, foreign economic activity of the enterprise, justify the directions of its future development for the preparation and presentation of analytical reports</w:t>
            </w: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075">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6">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47" w:tblpY="197"/>
        <w:tblW w:w="9493.0" w:type="dxa"/>
        <w:jc w:val="left"/>
        <w:tblLayout w:type="fixed"/>
        <w:tblLook w:val="0400"/>
      </w:tblPr>
      <w:tblGrid>
        <w:gridCol w:w="1178"/>
        <w:gridCol w:w="3499"/>
        <w:gridCol w:w="658"/>
        <w:gridCol w:w="658"/>
        <w:gridCol w:w="700"/>
        <w:gridCol w:w="2800"/>
        <w:tblGridChange w:id="0">
          <w:tblGrid>
            <w:gridCol w:w="1178"/>
            <w:gridCol w:w="3499"/>
            <w:gridCol w:w="658"/>
            <w:gridCol w:w="658"/>
            <w:gridCol w:w="700"/>
            <w:gridCol w:w="2800"/>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2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widowControl w:val="0"/>
              <w:tabs>
                <w:tab w:val="center" w:leader="none" w:pos="4153"/>
                <w:tab w:val="center" w:leader="none" w:pos="4677"/>
                <w:tab w:val="right" w:leader="none" w:pos="8306"/>
                <w:tab w:val="right" w:leader="none" w:pos="9355"/>
              </w:tabs>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 .</w:t>
            </w:r>
          </w:p>
          <w:p w:rsidR="00000000" w:rsidDel="00000000" w:rsidP="00000000" w:rsidRDefault="00000000" w:rsidRPr="00000000" w14:paraId="00000081">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widowControl w:val="0"/>
              <w:tabs>
                <w:tab w:val="center" w:leader="none" w:pos="4153"/>
                <w:tab w:val="center" w:leader="none" w:pos="4677"/>
                <w:tab w:val="right" w:leader="none" w:pos="8306"/>
                <w:tab w:val="right" w:leader="none" w:pos="9355"/>
              </w:tabs>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widowControl w:val="0"/>
              <w:tabs>
                <w:tab w:val="center" w:leader="none" w:pos="4153"/>
                <w:tab w:val="center" w:leader="none" w:pos="4677"/>
                <w:tab w:val="right" w:leader="none" w:pos="8306"/>
                <w:tab w:val="right" w:leader="none" w:pos="9355"/>
              </w:tabs>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67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4">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Fonts w:ascii="Times New Roman" w:cs="Times New Roman" w:eastAsia="Times New Roman" w:hAnsi="Times New Roman"/>
                <w:b w:val="1"/>
                <w:bCs w:val="1"/>
                <w:sz w:val="28"/>
                <w:szCs w:val="28"/>
                <w:vertAlign w:val="superscript"/>
                <w:rtl w:val="0"/>
              </w:rPr>
              <w:t xml:space="preserve">rd</w:t>
            </w:r>
            <w:r w:rsidDel="00000000" w:rsidR="00000000" w:rsidRPr="00000000">
              <w:rPr>
                <w:rFonts w:ascii="Times New Roman" w:cs="Times New Roman" w:eastAsia="Times New Roman" w:hAnsi="Times New Roman"/>
                <w:b w:val="1"/>
                <w:bCs w:val="1"/>
                <w:sz w:val="28"/>
                <w:szCs w:val="28"/>
                <w:rtl w:val="0"/>
              </w:rPr>
              <w:t xml:space="preserve"> semester</w:t>
            </w:r>
          </w:p>
          <w:p w:rsidR="00000000" w:rsidDel="00000000" w:rsidP="00000000" w:rsidRDefault="00000000" w:rsidRPr="00000000" w14:paraId="00000085">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1. Money circulation and credit</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A">
            <w:pPr>
              <w:widowControl w:val="0"/>
              <w:spacing w:line="240" w:lineRule="auto"/>
              <w:ind w:right="1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8B">
            <w:pPr>
              <w:widowControl w:val="0"/>
              <w:spacing w:line="24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 assessment of case studies.</w:t>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Theoretical foundations of money: essence, functions and role in the economy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structure and mechanisms of money circulation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5">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money market and monetary system: essence, evolution, and peculiarities of formation in Ukraine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Theory of money: historical development and current research trends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central bank and mechanisms of state regulation of money circulation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AA">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economic nature and mechanism of credit. The credit system</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tcBorders>
          </w:tcPr>
          <w:p w:rsidR="00000000" w:rsidDel="00000000" w:rsidP="00000000" w:rsidRDefault="00000000" w:rsidRPr="00000000" w14:paraId="000000AD">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A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7"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0">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Financial system</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of finance and the structure of the financial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Public finances and financial policy: interrelationship and impact on the national economy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F">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Tax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Financial market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Services and operations of commercial banks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1">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2">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Insurance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7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DA">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Currency market. International monetary and credit institutions and forms of their cooperation with Ukraine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D">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tcBorders>
          </w:tcPr>
          <w:p w:rsidR="00000000" w:rsidDel="00000000" w:rsidP="00000000" w:rsidRDefault="00000000" w:rsidRPr="00000000" w14:paraId="000000D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18</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A">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spacing w:line="240" w:lineRule="auto"/>
              <w:ind w:right="14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Final</w:t>
            </w:r>
            <w:r w:rsidDel="00000000" w:rsidR="00000000" w:rsidRPr="00000000">
              <w:rPr>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assessment: exam</w:t>
            </w:r>
            <w:r w:rsidDel="00000000" w:rsidR="00000000" w:rsidRPr="00000000">
              <w:rPr>
                <w:rtl w:val="0"/>
              </w:rPr>
            </w:r>
          </w:p>
        </w:tc>
      </w:tr>
    </w:tbl>
    <w:p w:rsidR="00000000" w:rsidDel="00000000" w:rsidP="00000000" w:rsidRDefault="00000000" w:rsidRPr="00000000" w14:paraId="000000F2">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Grading system and requirements.</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107">
      <w:pPr>
        <w:widowControl w:val="0"/>
        <w:spacing w:line="240" w:lineRule="auto"/>
        <w:ind w:right="140"/>
        <w:jc w:val="both"/>
        <w:rPr>
          <w:rFonts w:ascii="Times New Roman" w:cs="Times New Roman" w:eastAsia="Times New Roman" w:hAnsi="Times New Roman"/>
          <w:b w:val="1"/>
          <w:bCs w:val="1"/>
          <w:sz w:val="28"/>
          <w:szCs w:val="28"/>
        </w:rPr>
      </w:pPr>
      <w:r w:rsidDel="00000000" w:rsidR="00000000" w:rsidRPr="00000000">
        <w:rPr>
          <w:rtl w:val="0"/>
        </w:rPr>
      </w:r>
    </w:p>
    <w:tbl>
      <w:tblPr>
        <w:tblStyle w:val="Table6"/>
        <w:tblW w:w="9720.0" w:type="dxa"/>
        <w:jc w:val="left"/>
        <w:tblInd w:w="55.0" w:type="dxa"/>
        <w:tblLayout w:type="fixed"/>
        <w:tblLook w:val="0400"/>
      </w:tblPr>
      <w:tblGrid>
        <w:gridCol w:w="1228"/>
        <w:gridCol w:w="377"/>
        <w:gridCol w:w="375"/>
        <w:gridCol w:w="381"/>
        <w:gridCol w:w="375"/>
        <w:gridCol w:w="382"/>
        <w:gridCol w:w="344"/>
        <w:gridCol w:w="350"/>
        <w:gridCol w:w="344"/>
        <w:gridCol w:w="392"/>
        <w:gridCol w:w="432"/>
        <w:gridCol w:w="431"/>
        <w:gridCol w:w="431"/>
        <w:gridCol w:w="431"/>
        <w:gridCol w:w="1604"/>
        <w:gridCol w:w="852"/>
        <w:gridCol w:w="991"/>
        <w:tblGridChange w:id="0">
          <w:tblGrid>
            <w:gridCol w:w="1228"/>
            <w:gridCol w:w="377"/>
            <w:gridCol w:w="375"/>
            <w:gridCol w:w="381"/>
            <w:gridCol w:w="375"/>
            <w:gridCol w:w="382"/>
            <w:gridCol w:w="344"/>
            <w:gridCol w:w="350"/>
            <w:gridCol w:w="344"/>
            <w:gridCol w:w="392"/>
            <w:gridCol w:w="432"/>
            <w:gridCol w:w="431"/>
            <w:gridCol w:w="431"/>
            <w:gridCol w:w="431"/>
            <w:gridCol w:w="1604"/>
            <w:gridCol w:w="852"/>
            <w:gridCol w:w="991"/>
          </w:tblGrid>
        </w:tblGridChange>
      </w:tblGrid>
      <w:tr>
        <w:trPr>
          <w:cantSplit w:val="0"/>
          <w:trHeight w:val="6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510" w:hRule="atLeast"/>
          <w:tblHeader w:val="0"/>
        </w:trPr>
        <w:tc>
          <w:tcPr>
            <w:tcBorders>
              <w:left w:color="000000" w:space="0" w:sz="4" w:val="single"/>
              <w:bottom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1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D">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F">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20">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21">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123">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vMerge w:val="restart"/>
            <w:tcBorders>
              <w:left w:color="000000" w:space="0" w:sz="4" w:val="single"/>
            </w:tcBorders>
          </w:tcPr>
          <w:p w:rsidR="00000000" w:rsidDel="00000000" w:rsidP="00000000" w:rsidRDefault="00000000" w:rsidRPr="00000000" w14:paraId="0000012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tcBorders>
              <w:left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1134" w:hRule="atLeast"/>
          <w:tblHeader w:val="0"/>
        </w:trPr>
        <w:tc>
          <w:tcPr>
            <w:tcBorders>
              <w:left w:color="000000" w:space="0" w:sz="4" w:val="single"/>
              <w:bottom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 class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4">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5">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A">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4">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5">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6">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8">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9">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A">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B">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spacing w:line="240" w:lineRule="auto"/>
              <w:ind w:right="1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spacing w:line="240" w:lineRule="auto"/>
              <w:ind w:right="1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52">
      <w:pPr>
        <w:widowControl w:val="0"/>
        <w:spacing w:line="240" w:lineRule="auto"/>
        <w:ind w:right="1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6A">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B">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6C">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6D">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E">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6F">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170">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71">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72">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3">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0">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83">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55.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F">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color w:val="000000"/>
          <w:sz w:val="28"/>
          <w:szCs w:val="28"/>
          <w:highlight w:val="white"/>
          <w:rtl w:val="0"/>
        </w:rPr>
        <w:t xml:space="preserve">Finance, money and credit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D7">
      <w:pPr>
        <w:widowControl w:val="0"/>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D9">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Money and Credit: Textbook / V. Yu. Svitlychna; Kharkiv National University of Municipal Economy named after O. M. Beketov. – Kharkiv: KNU named after O. M. Beketov, 2020. – 191 p. URL: https://fpk.in.ua/images/biblioteka/2fmb_finansy/Hroshchi-ta-kredyt-2020.pdf</w:t>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Money and Credit: Textbook / S. P. Stetsenko, V. V. Titok, N. V. Lysytsia [et al.]; Kyiv National University of Construction and Architecture. – Kyiv: KNUCA, 2024. – 227 p. URL:</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https://repositary.knuba.edu.ua/items/ba581483-d2be-44a5-a9b8-03cafdee1cd9</w:t>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Politilo M.P., Khoma I.B., Chubka O.M., Yaroshevich N.B., Yakymiv A.I. Finance, money and credit. Finance, money and credit: textbook. Lviv: Novyi Svit-2000. 2025. – 234 p.</w:t>
      </w:r>
    </w:p>
    <w:p w:rsidR="00000000" w:rsidDel="00000000" w:rsidP="00000000" w:rsidRDefault="00000000" w:rsidRPr="00000000" w14:paraId="000001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Sodoma R.I., Dubinetska P.P., Samilo A.V. Finance, money and credit: theory and practice: textbook – Lviv. LDUBD, 2024 – 624 p.</w:t>
      </w:r>
    </w:p>
    <w:p w:rsidR="00000000" w:rsidDel="00000000" w:rsidP="00000000" w:rsidRDefault="00000000" w:rsidRPr="00000000" w14:paraId="000001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Money and Credit: Tutorial / N. B. Yaroshevych, I. Yu. Kondrat // Yaroshevych N. &amp; Kondrat I. (2025) Money and Credit. Tutorial. Novij Svit-2000, Lviv. 146 p.</w:t>
      </w: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Suzdaleva O. S. Money and Credit: Tutorial. Kyiv: MDU, 2024. 169 p.</w:t>
      </w: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Money and Credit: Textbook / S. P. Stetsenko, V. V. Titok, N. V. Lysytsia [et al.]. Kyiv: KNUBA, 2024. 227 p.</w:t>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Ivanchuk N. V. Money and Credit: Textbook. Ostroh: Publishing House of the National University "Ostrog Academy", 2021. 332 p.</w:t>
      </w:r>
    </w:p>
    <w:p w:rsidR="00000000" w:rsidDel="00000000" w:rsidP="00000000" w:rsidRDefault="00000000" w:rsidRPr="00000000" w14:paraId="000001E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Finance, Banking, Insurance and Stock Market: Textbook / Vakhovych I.M., Vakhnovska N.A., Dorosh V.Yu., Ishchuk L.I., Korobchuk T.I., Kuzmak O.M., Nikolaeva A.M., Pyrih S.O., Polishchuk V.G., Chizh N.M. Lutsk: VIP LNTU, 2024. 384 p.</w:t>
      </w:r>
    </w:p>
    <w:p w:rsidR="00000000" w:rsidDel="00000000" w:rsidP="00000000" w:rsidRDefault="00000000" w:rsidRPr="00000000" w14:paraId="000001E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Bordo M.D., Levin A.T. Central Bank Digital Currency and the Future of Monetary Policy. – National Bureau of Economic Research Working Paper No. 23711. – Cambridge, MA: NBER, 2017. – 31 p. – URL:</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https://www.nber.org/papers/w23711</w:t>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Kendall S., Mitchell W., Wray L.R. Modern Monetary Theory and Practice: An Introductory Text. – London : Macmillan International, 2020. – 380 p.</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widowControl w:val="0"/>
        <w:shd w:fill="ffffff" w:val="clear"/>
        <w:tabs>
          <w:tab w:val="left" w:leader="none" w:pos="851"/>
        </w:tabs>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Additional literature:</w:t>
      </w:r>
    </w:p>
    <w:p w:rsidR="00000000" w:rsidDel="00000000" w:rsidP="00000000" w:rsidRDefault="00000000" w:rsidRPr="00000000" w14:paraId="000001E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Bryukhovetska I., Krystal G. State policy on the formation of local revenues in the context of socio-economic development of regions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Scientific works of the Interregional Academy of Personnel Management. Political Sciences and Public Administration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2023. – No. 2 (68). – P. 12–16. – DOI: 10.32689/2523-4625-2023-2(68)-2.</w:t>
      </w:r>
    </w:p>
    <w:p w:rsidR="00000000" w:rsidDel="00000000" w:rsidP="00000000" w:rsidRDefault="00000000" w:rsidRPr="00000000" w14:paraId="000001E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Hutsalenko L.V. State Financial Control. 2nd edition. Textbook. Kyiv: Karavella, 2019. 424 p.</w:t>
      </w:r>
    </w:p>
    <w:p w:rsidR="00000000" w:rsidDel="00000000" w:rsidP="00000000" w:rsidRDefault="00000000" w:rsidRPr="00000000" w14:paraId="000001E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Karlin M.I. Public finances of developed countries. Textbook. Kyiv: Karavella, 2019. 484 p.</w:t>
      </w:r>
    </w:p>
    <w:p w:rsidR="00000000" w:rsidDel="00000000" w:rsidP="00000000" w:rsidRDefault="00000000" w:rsidRPr="00000000" w14:paraId="000001E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 Krystal. State Regulation of the Banking Sector in Ensuring the Socio-Economic Development of Ukraine: Theory, Methodology, Practice. Monograph. Kyiv. 2019. 411 p.</w:t>
      </w:r>
    </w:p>
    <w:p w:rsidR="00000000" w:rsidDel="00000000" w:rsidP="00000000" w:rsidRDefault="00000000" w:rsidRPr="00000000" w14:paraId="000001E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Krystal G.O. Financial security of the banking system of Ukraine in conditions of martial law: classification of possible threats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Management and Entrepreneurship: Trends of Development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2023. – Vol. 4 (26). – P. 39–47.</w:t>
      </w:r>
    </w:p>
    <w:p w:rsidR="00000000" w:rsidDel="00000000" w:rsidP="00000000" w:rsidRDefault="00000000" w:rsidRPr="00000000" w14:paraId="000001E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Krystal G.O. The role of monetary policy instruments of the state regulator in the state credit market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Scientific works of the Interregional Academy of Personnel Management. Economic sciences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2021. – No. 1 (60). – P. 25–28.</w:t>
      </w:r>
    </w:p>
    <w:p w:rsidR="00000000" w:rsidDel="00000000" w:rsidP="00000000" w:rsidRDefault="00000000" w:rsidRPr="00000000" w14:paraId="000001E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Kolesnikov O.V. History of Money and Finance. Textbook. Kyiv: Karavella, 2017. 180 p.</w:t>
      </w:r>
    </w:p>
    <w:p w:rsidR="00000000" w:rsidDel="00000000" w:rsidP="00000000" w:rsidRDefault="00000000" w:rsidRPr="00000000" w14:paraId="000001EF">
      <w:pPr>
        <w:widowControl w:val="0"/>
        <w:shd w:fill="ffffff" w:val="clear"/>
        <w:spacing w:line="240" w:lineRule="auto"/>
        <w:ind w:right="1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widowControl w:val="0"/>
        <w:shd w:fill="ffffff" w:val="clear"/>
        <w:spacing w:line="240" w:lineRule="auto"/>
        <w:ind w:right="14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Information resources: </w:t>
      </w:r>
    </w:p>
    <w:p w:rsidR="00000000" w:rsidDel="00000000" w:rsidP="00000000" w:rsidRDefault="00000000" w:rsidRPr="00000000" w14:paraId="000001F1">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Website of the Verkhovna Rada of Ukraine URL: http://www.rada.gov.ua/</w:t>
      </w:r>
    </w:p>
    <w:p w:rsidR="00000000" w:rsidDel="00000000" w:rsidP="00000000" w:rsidRDefault="00000000" w:rsidRPr="00000000" w14:paraId="000001F2">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Website of the Cabinet of Ministers of Ukraine URL: http://www.kmu.gov.ua/</w:t>
      </w:r>
    </w:p>
    <w:p w:rsidR="00000000" w:rsidDel="00000000" w:rsidP="00000000" w:rsidRDefault="00000000" w:rsidRPr="00000000" w14:paraId="000001F3">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Website of the Ministry of Economy of Ukraine URL: http://www.me.gov.ua/</w:t>
      </w:r>
    </w:p>
    <w:p w:rsidR="00000000" w:rsidDel="00000000" w:rsidP="00000000" w:rsidRDefault="00000000" w:rsidRPr="00000000" w14:paraId="000001F4">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Website of the Ministry of Finance of Ukraine URL: http://www. minfin.kmu.gov.ua /</w:t>
      </w:r>
    </w:p>
    <w:p w:rsidR="00000000" w:rsidDel="00000000" w:rsidP="00000000" w:rsidRDefault="00000000" w:rsidRPr="00000000" w14:paraId="000001F5">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Website of the State Fiscal Service of Ukraine URL: http://sfs.gov.ua/</w:t>
      </w:r>
    </w:p>
    <w:p w:rsidR="00000000" w:rsidDel="00000000" w:rsidP="00000000" w:rsidRDefault="00000000" w:rsidRPr="00000000" w14:paraId="000001F6">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Website of the State Audit Service of Ukraine URL: http://www.dkrs.gov.ua/kru/uk/index</w:t>
      </w:r>
    </w:p>
    <w:p w:rsidR="00000000" w:rsidDel="00000000" w:rsidP="00000000" w:rsidRDefault="00000000" w:rsidRPr="00000000" w14:paraId="000001F7">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Website of the National Bank of Ukraine URL: https://www.bank.gov.ua</w:t>
      </w:r>
    </w:p>
    <w:p w:rsidR="00000000" w:rsidDel="00000000" w:rsidP="00000000" w:rsidRDefault="00000000" w:rsidRPr="00000000" w14:paraId="000001F8">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Website of the State Statistics Service of Ukraine URL: http://www.ukrstat.gov.ua/</w:t>
      </w:r>
    </w:p>
    <w:p w:rsidR="00000000" w:rsidDel="00000000" w:rsidP="00000000" w:rsidRDefault="00000000" w:rsidRPr="00000000" w14:paraId="000001F9">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Website of the State Treasury Service of Ukraine URL: http://treasury.gov.ua/</w:t>
      </w:r>
    </w:p>
    <w:p w:rsidR="00000000" w:rsidDel="00000000" w:rsidP="00000000" w:rsidRDefault="00000000" w:rsidRPr="00000000" w14:paraId="000001FA">
      <w:pPr>
        <w:widowControl w:val="0"/>
        <w:shd w:fill="ffffff" w:val="clear"/>
        <w:spacing w:line="240" w:lineRule="auto"/>
        <w:ind w:left="567" w:right="140"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Website of the practical journal "Balance" URL: http://balance.ua/</w:t>
      </w:r>
    </w:p>
    <w:p w:rsidR="00000000" w:rsidDel="00000000" w:rsidP="00000000" w:rsidRDefault="00000000" w:rsidRPr="00000000" w14:paraId="000001FB">
      <w:pPr>
        <w:widowControl w:val="0"/>
        <w:tabs>
          <w:tab w:val="left" w:leader="none" w:pos="851"/>
        </w:tabs>
        <w:spacing w:line="240" w:lineRule="auto"/>
        <w:ind w:right="140"/>
        <w:rPr>
          <w:rFonts w:ascii="Times New Roman" w:cs="Times New Roman" w:eastAsia="Times New Roman" w:hAnsi="Times New Roman"/>
          <w:b w:val="1"/>
          <w:bCs w:val="1"/>
          <w:sz w:val="28"/>
          <w:szCs w:val="28"/>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firstLine="709"/>
      <w:jc w:val="both"/>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240" w:lineRule="auto"/>
      <w:ind w:firstLine="709"/>
      <w:jc w:val="both"/>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763"/>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spacing w:before="40" w:lineRule="auto"/>
    </w:pPr>
    <w:rPr>
      <w:rFonts w:ascii="Calibri" w:cs="Calibri" w:eastAsia="Calibri" w:hAnsi="Calibri"/>
      <w:color w:val="1f3763"/>
    </w:rPr>
  </w:style>
  <w:style w:type="paragraph" w:styleId="Title">
    <w:name w:val="Title"/>
    <w:basedOn w:val="Normal"/>
    <w:next w:val="Normal"/>
    <w:pPr>
      <w:spacing w:line="240" w:lineRule="auto"/>
      <w:ind w:firstLine="709"/>
      <w:jc w:val="both"/>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llowedHyperlink"/>
    <w:basedOn w:val="a0"/>
    <w:uiPriority w:val="99"/>
    <w:semiHidden w:val="1"/>
    <w:qFormat w:val="1"/>
    <w:rPr>
      <w:rFonts w:cs="Times New Roman"/>
      <w:color w:val="954f72"/>
      <w:u w:val="single"/>
    </w:rPr>
  </w:style>
  <w:style w:type="character" w:styleId="a4">
    <w:name w:val="Emphasis"/>
    <w:basedOn w:val="a0"/>
    <w:uiPriority w:val="99"/>
    <w:qFormat w:val="1"/>
    <w:rPr>
      <w:rFonts w:cs="Times New Roman"/>
      <w:i w:val="1"/>
      <w:iCs w:val="1"/>
    </w:rPr>
  </w:style>
  <w:style w:type="character" w:styleId="a5">
    <w:name w:val="Hyperlink"/>
    <w:basedOn w:val="a0"/>
    <w:uiPriority w:val="99"/>
    <w:qFormat w:val="1"/>
    <w:rPr>
      <w:rFonts w:cs="Times New Roman"/>
      <w:color w:val="0563c1"/>
      <w:u w:val="single"/>
    </w:rPr>
  </w:style>
  <w:style w:type="character" w:styleId="a6">
    <w:name w:val="Strong"/>
    <w:basedOn w:val="a0"/>
    <w:uiPriority w:val="22"/>
    <w:qFormat w:val="1"/>
    <w:rPr>
      <w:rFonts w:cs="Times New Roman"/>
      <w:b w:val="1"/>
      <w:bCs w:val="1"/>
    </w:rPr>
  </w:style>
  <w:style w:type="paragraph" w:styleId="a7">
    <w:name w:val="Balloon Text"/>
    <w:basedOn w:val="a"/>
    <w:link w:val="a8"/>
    <w:uiPriority w:val="99"/>
    <w:semiHidden w:val="1"/>
    <w:unhideWhenUsed w:val="1"/>
    <w:pPr>
      <w:spacing w:line="240" w:lineRule="auto"/>
    </w:pPr>
    <w:rPr>
      <w:rFonts w:ascii="Tahoma" w:cs="Tahoma" w:hAnsi="Tahoma"/>
      <w:sz w:val="16"/>
      <w:szCs w:val="16"/>
    </w:rPr>
  </w:style>
  <w:style w:type="paragraph" w:styleId="a9">
    <w:name w:val="Document Map"/>
    <w:basedOn w:val="a"/>
    <w:link w:val="aa"/>
    <w:uiPriority w:val="99"/>
    <w:semiHidden w:val="1"/>
    <w:qFormat w:val="1"/>
    <w:pPr>
      <w:shd w:color="auto" w:fill="000080" w:val="clear"/>
      <w:spacing w:line="240" w:lineRule="auto"/>
      <w:ind w:firstLine="709"/>
      <w:jc w:val="both"/>
    </w:pPr>
    <w:rPr>
      <w:rFonts w:ascii="Tahoma" w:cs="Tahoma" w:hAnsi="Tahoma"/>
      <w:sz w:val="20"/>
      <w:szCs w:val="20"/>
    </w:rPr>
  </w:style>
  <w:style w:type="paragraph" w:styleId="ab">
    <w:name w:val="header"/>
    <w:basedOn w:val="a"/>
    <w:link w:val="ac"/>
    <w:qFormat w:val="1"/>
    <w:pPr>
      <w:tabs>
        <w:tab w:val="center" w:pos="4677"/>
        <w:tab w:val="right" w:pos="9355"/>
      </w:tabs>
      <w:spacing w:line="240" w:lineRule="auto"/>
    </w:pPr>
  </w:style>
  <w:style w:type="paragraph" w:styleId="ad">
    <w:name w:val="Body Text"/>
    <w:basedOn w:val="a"/>
    <w:link w:val="ae"/>
    <w:uiPriority w:val="99"/>
    <w:pPr>
      <w:spacing w:after="120" w:line="240" w:lineRule="auto"/>
      <w:ind w:firstLine="709"/>
      <w:jc w:val="both"/>
    </w:pPr>
    <w:rPr>
      <w:rFonts w:ascii="Times New Roman" w:cs="Times New Roman" w:hAnsi="Times New Roman"/>
      <w:sz w:val="24"/>
      <w:szCs w:val="24"/>
    </w:rPr>
  </w:style>
  <w:style w:type="paragraph" w:styleId="af1">
    <w:name w:val="footer"/>
    <w:basedOn w:val="a"/>
    <w:link w:val="af2"/>
    <w:uiPriority w:val="99"/>
    <w:qFormat w:val="1"/>
    <w:pPr>
      <w:tabs>
        <w:tab w:val="center" w:pos="4677"/>
        <w:tab w:val="right" w:pos="9355"/>
      </w:tabs>
      <w:spacing w:line="240" w:lineRule="auto"/>
    </w:pPr>
  </w:style>
  <w:style w:type="paragraph" w:styleId="af3">
    <w:name w:val="Normal (Web)"/>
    <w:basedOn w:val="a"/>
    <w:uiPriority w:val="99"/>
    <w:qFormat w:val="1"/>
    <w:pPr>
      <w:spacing w:after="100" w:afterAutospacing="1" w:before="100" w:beforeAutospacing="1" w:line="240" w:lineRule="auto"/>
      <w:ind w:firstLine="709"/>
      <w:jc w:val="both"/>
    </w:pPr>
    <w:rPr>
      <w:rFonts w:ascii="Times New Roman" w:cs="Times New Roman" w:eastAsia="Times New Roman" w:hAnsi="Times New Roman"/>
      <w:sz w:val="24"/>
      <w:szCs w:val="24"/>
      <w:lang w:eastAsia="uk-UA" w:val="uk-UA"/>
    </w:rPr>
  </w:style>
  <w:style w:type="table" w:styleId="af6">
    <w:name w:val="Table Grid"/>
    <w:basedOn w:val="a1"/>
    <w:uiPriority w:val="39"/>
    <w:qFormat w:val="1"/>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Заголовок 1 Знак"/>
    <w:basedOn w:val="a0"/>
    <w:link w:val="1"/>
    <w:uiPriority w:val="99"/>
    <w:qFormat w:val="1"/>
    <w:locked w:val="1"/>
    <w:rPr>
      <w:rFonts w:ascii="Calibri Light" w:cs="Times New Roman" w:hAnsi="Calibri Light"/>
      <w:b w:val="1"/>
      <w:bCs w:val="1"/>
      <w:kern w:val="32"/>
      <w:sz w:val="32"/>
      <w:szCs w:val="32"/>
      <w:lang w:eastAsia="ru-RU" w:val="ru-RU"/>
    </w:rPr>
  </w:style>
  <w:style w:type="character" w:styleId="20" w:customStyle="1">
    <w:name w:val="Заголовок 2 Знак"/>
    <w:basedOn w:val="a0"/>
    <w:link w:val="2"/>
    <w:uiPriority w:val="99"/>
    <w:semiHidden w:val="1"/>
    <w:qFormat w:val="1"/>
    <w:locked w:val="1"/>
    <w:rPr>
      <w:rFonts w:ascii="Calibri Light" w:cs="Times New Roman" w:hAnsi="Calibri Light"/>
      <w:b w:val="1"/>
      <w:bCs w:val="1"/>
      <w:i w:val="1"/>
      <w:iCs w:val="1"/>
      <w:sz w:val="28"/>
      <w:szCs w:val="28"/>
      <w:lang w:eastAsia="ru-RU" w:val="ru-RU"/>
    </w:rPr>
  </w:style>
  <w:style w:type="character" w:styleId="30" w:customStyle="1">
    <w:name w:val="Заголовок 3 Знак"/>
    <w:basedOn w:val="a0"/>
    <w:link w:val="3"/>
    <w:uiPriority w:val="99"/>
    <w:qFormat w:val="1"/>
    <w:locked w:val="1"/>
    <w:rPr>
      <w:rFonts w:ascii="Calibri Light" w:cs="Times New Roman" w:hAnsi="Calibri Light"/>
      <w:color w:val="1f3763"/>
      <w:sz w:val="24"/>
      <w:szCs w:val="24"/>
      <w:lang w:eastAsia="ru-RU" w:val="ru-RU"/>
    </w:rPr>
  </w:style>
  <w:style w:type="character" w:styleId="40" w:customStyle="1">
    <w:name w:val="Заголовок 4 Знак"/>
    <w:basedOn w:val="a0"/>
    <w:link w:val="4"/>
    <w:uiPriority w:val="99"/>
    <w:qFormat w:val="1"/>
    <w:locked w:val="1"/>
    <w:rPr>
      <w:rFonts w:ascii="Calibri Light" w:cs="Times New Roman" w:hAnsi="Calibri Light"/>
      <w:i w:val="1"/>
      <w:iCs w:val="1"/>
      <w:color w:val="2f5496"/>
      <w:lang w:eastAsia="ru-RU" w:val="ru-RU"/>
    </w:rPr>
  </w:style>
  <w:style w:type="character" w:styleId="50" w:customStyle="1">
    <w:name w:val="Заголовок 5 Знак"/>
    <w:basedOn w:val="a0"/>
    <w:link w:val="5"/>
    <w:uiPriority w:val="99"/>
    <w:semiHidden w:val="1"/>
    <w:qFormat w:val="1"/>
    <w:locked w:val="1"/>
    <w:rPr>
      <w:rFonts w:ascii="Calibri Light" w:cs="Times New Roman" w:hAnsi="Calibri Light"/>
      <w:color w:val="2f5496"/>
      <w:lang w:eastAsia="ru-RU" w:val="ru-RU"/>
    </w:rPr>
  </w:style>
  <w:style w:type="character" w:styleId="60" w:customStyle="1">
    <w:name w:val="Заголовок 6 Знак"/>
    <w:basedOn w:val="a0"/>
    <w:link w:val="6"/>
    <w:uiPriority w:val="99"/>
    <w:semiHidden w:val="1"/>
    <w:qFormat w:val="1"/>
    <w:locked w:val="1"/>
    <w:rPr>
      <w:rFonts w:ascii="Calibri Light" w:cs="Times New Roman" w:hAnsi="Calibri Light"/>
      <w:color w:val="1f3763"/>
      <w:lang w:eastAsia="ru-RU" w:val="ru-RU"/>
    </w:rPr>
  </w:style>
  <w:style w:type="paragraph" w:styleId="af7">
    <w:name w:val="List Paragraph"/>
    <w:basedOn w:val="a"/>
    <w:uiPriority w:val="34"/>
    <w:qFormat w:val="1"/>
    <w:pPr>
      <w:ind w:left="720"/>
      <w:contextualSpacing w:val="1"/>
    </w:pPr>
  </w:style>
  <w:style w:type="character" w:styleId="af8" w:customStyle="1">
    <w:name w:val="Основной текст_"/>
    <w:basedOn w:val="a0"/>
    <w:link w:val="51"/>
    <w:uiPriority w:val="99"/>
    <w:qFormat w:val="1"/>
    <w:locked w:val="1"/>
    <w:rPr>
      <w:rFonts w:ascii="Times New Roman" w:cs="Times New Roman" w:hAnsi="Times New Roman"/>
      <w:spacing w:val="2"/>
      <w:shd w:color="auto" w:fill="ffffff" w:val="clear"/>
    </w:rPr>
  </w:style>
  <w:style w:type="paragraph" w:styleId="51" w:customStyle="1">
    <w:name w:val="Основной текст5"/>
    <w:basedOn w:val="a"/>
    <w:link w:val="af8"/>
    <w:uiPriority w:val="99"/>
    <w:qFormat w:val="1"/>
    <w:pPr>
      <w:widowControl w:val="0"/>
      <w:shd w:color="auto" w:fill="ffffff" w:val="clear"/>
      <w:spacing w:after="420" w:before="420" w:line="240" w:lineRule="atLeast"/>
      <w:ind w:hanging="400"/>
    </w:pPr>
    <w:rPr>
      <w:rFonts w:ascii="Times New Roman" w:cs="Times New Roman" w:eastAsia="Times New Roman" w:hAnsi="Times New Roman"/>
      <w:spacing w:val="2"/>
      <w:lang w:eastAsia="en-US"/>
    </w:rPr>
  </w:style>
  <w:style w:type="character" w:styleId="31" w:customStyle="1">
    <w:name w:val="Основной текст (3) + Не полужирный"/>
    <w:uiPriority w:val="99"/>
    <w:qFormat w:val="1"/>
    <w:rPr>
      <w:rFonts w:ascii="Arial Narrow" w:hAnsi="Arial Narrow"/>
      <w:b w:val="1"/>
      <w:spacing w:val="-3"/>
      <w:w w:val="100"/>
      <w:sz w:val="15"/>
      <w:shd w:color="auto" w:fill="ffffff" w:val="clear"/>
    </w:rPr>
  </w:style>
  <w:style w:type="paragraph" w:styleId="Default" w:customStyle="1">
    <w:name w:val="Default"/>
    <w:uiPriority w:val="99"/>
    <w:qFormat w:val="1"/>
    <w:pPr>
      <w:suppressAutoHyphens w:val="1"/>
      <w:autoSpaceDE w:val="0"/>
    </w:pPr>
    <w:rPr>
      <w:rFonts w:ascii="Times New Roman" w:eastAsia="Times New Roman" w:hAnsi="Times New Roman"/>
      <w:color w:val="000000"/>
      <w:sz w:val="24"/>
      <w:szCs w:val="24"/>
      <w:lang w:eastAsia="zh-CN"/>
    </w:rPr>
  </w:style>
  <w:style w:type="paragraph" w:styleId="11" w:customStyle="1">
    <w:name w:val="Основной текст1"/>
    <w:basedOn w:val="a"/>
    <w:uiPriority w:val="99"/>
    <w:qFormat w:val="1"/>
    <w:pPr>
      <w:widowControl w:val="0"/>
      <w:spacing w:line="240" w:lineRule="auto"/>
    </w:pPr>
    <w:rPr>
      <w:rFonts w:ascii="Times New Roman" w:cs="Times New Roman" w:eastAsia="Times New Roman" w:hAnsi="Times New Roman"/>
      <w:sz w:val="28"/>
      <w:szCs w:val="28"/>
      <w:lang w:eastAsia="zh-CN" w:val="uk-UA"/>
    </w:rPr>
  </w:style>
  <w:style w:type="character" w:styleId="21" w:customStyle="1">
    <w:name w:val="Основной текст (2)_"/>
    <w:link w:val="22"/>
    <w:uiPriority w:val="99"/>
    <w:locked w:val="1"/>
    <w:rPr>
      <w:rFonts w:ascii="Arial Narrow" w:hAnsi="Arial Narrow"/>
      <w:b w:val="1"/>
      <w:sz w:val="15"/>
      <w:shd w:color="auto" w:fill="ffffff" w:val="clear"/>
    </w:rPr>
  </w:style>
  <w:style w:type="paragraph" w:styleId="22" w:customStyle="1">
    <w:name w:val="Основной текст (2)"/>
    <w:basedOn w:val="a"/>
    <w:link w:val="21"/>
    <w:uiPriority w:val="99"/>
    <w:qFormat w:val="1"/>
    <w:pPr>
      <w:shd w:color="auto" w:fill="ffffff" w:val="clear"/>
      <w:spacing w:line="240" w:lineRule="atLeast"/>
      <w:ind w:firstLine="709"/>
      <w:jc w:val="both"/>
    </w:pPr>
    <w:rPr>
      <w:rFonts w:ascii="Arial Narrow" w:cs="Times New Roman" w:hAnsi="Arial Narrow"/>
      <w:b w:val="1"/>
      <w:sz w:val="15"/>
      <w:szCs w:val="20"/>
    </w:rPr>
  </w:style>
  <w:style w:type="character" w:styleId="TitleChar" w:customStyle="1">
    <w:name w:val="Title Char"/>
    <w:uiPriority w:val="99"/>
    <w:qFormat w:val="1"/>
    <w:locked w:val="1"/>
    <w:rPr>
      <w:b w:val="1"/>
      <w:sz w:val="28"/>
      <w:lang w:bidi="ar-SA" w:eastAsia="ar-SA"/>
    </w:rPr>
  </w:style>
  <w:style w:type="character" w:styleId="af5" w:customStyle="1">
    <w:name w:val="Подзаголовок Знак"/>
    <w:basedOn w:val="a0"/>
    <w:link w:val="af4"/>
    <w:uiPriority w:val="99"/>
    <w:qFormat w:val="1"/>
    <w:locked w:val="1"/>
    <w:rPr>
      <w:rFonts w:cs="Times New Roman" w:eastAsia="Times New Roman"/>
      <w:color w:val="5a5a5a"/>
      <w:spacing w:val="15"/>
      <w:lang w:eastAsia="ru-RU" w:val="ru-RU"/>
    </w:rPr>
  </w:style>
  <w:style w:type="character" w:styleId="af0" w:customStyle="1">
    <w:name w:val="Название Знак"/>
    <w:basedOn w:val="a0"/>
    <w:link w:val="af"/>
    <w:uiPriority w:val="99"/>
    <w:qFormat w:val="1"/>
    <w:locked w:val="1"/>
    <w:rPr>
      <w:rFonts w:ascii="Cambria" w:cs="Times New Roman" w:hAnsi="Cambria"/>
      <w:b w:val="1"/>
      <w:bCs w:val="1"/>
      <w:kern w:val="28"/>
      <w:sz w:val="32"/>
      <w:szCs w:val="32"/>
    </w:rPr>
  </w:style>
  <w:style w:type="character" w:styleId="af9" w:customStyle="1">
    <w:name w:val="Заголовок Знак"/>
    <w:basedOn w:val="a0"/>
    <w:uiPriority w:val="99"/>
    <w:qFormat w:val="1"/>
    <w:rPr>
      <w:rFonts w:ascii="Calibri Light" w:cs="Times New Roman" w:hAnsi="Calibri Light"/>
      <w:spacing w:val="-10"/>
      <w:kern w:val="28"/>
      <w:sz w:val="56"/>
      <w:szCs w:val="56"/>
      <w:lang w:eastAsia="ru-RU" w:val="ru-RU"/>
    </w:rPr>
  </w:style>
  <w:style w:type="character" w:styleId="32" w:customStyle="1">
    <w:name w:val="Основной текст3"/>
    <w:basedOn w:val="af8"/>
    <w:uiPriority w:val="99"/>
    <w:qFormat w:val="1"/>
    <w:rPr>
      <w:rFonts w:ascii="Times New Roman" w:cs="Times New Roman" w:hAnsi="Times New Roman"/>
      <w:color w:val="000000"/>
      <w:spacing w:val="2"/>
      <w:w w:val="100"/>
      <w:position w:val="0"/>
      <w:sz w:val="24"/>
      <w:szCs w:val="24"/>
      <w:u w:val="single"/>
      <w:shd w:color="auto" w:fill="ffffff" w:val="clear"/>
      <w:lang w:val="uk-UA"/>
    </w:rPr>
  </w:style>
  <w:style w:type="character" w:styleId="12" w:customStyle="1">
    <w:name w:val="Заголовок №1_"/>
    <w:basedOn w:val="a0"/>
    <w:link w:val="13"/>
    <w:uiPriority w:val="99"/>
    <w:qFormat w:val="1"/>
    <w:locked w:val="1"/>
    <w:rPr>
      <w:rFonts w:ascii="Times New Roman" w:cs="Times New Roman" w:hAnsi="Times New Roman"/>
      <w:spacing w:val="2"/>
      <w:shd w:color="auto" w:fill="ffffff" w:val="clear"/>
    </w:rPr>
  </w:style>
  <w:style w:type="paragraph" w:styleId="13" w:customStyle="1">
    <w:name w:val="Заголовок №1"/>
    <w:basedOn w:val="a"/>
    <w:link w:val="12"/>
    <w:uiPriority w:val="99"/>
    <w:qFormat w:val="1"/>
    <w:pPr>
      <w:widowControl w:val="0"/>
      <w:shd w:color="auto" w:fill="ffffff" w:val="clear"/>
      <w:spacing w:before="180" w:line="322" w:lineRule="exact"/>
      <w:ind w:hanging="400"/>
      <w:jc w:val="both"/>
      <w:outlineLvl w:val="0"/>
    </w:pPr>
    <w:rPr>
      <w:rFonts w:ascii="Times New Roman" w:cs="Times New Roman" w:eastAsia="Times New Roman" w:hAnsi="Times New Roman"/>
      <w:spacing w:val="2"/>
      <w:lang w:eastAsia="en-US"/>
    </w:rPr>
  </w:style>
  <w:style w:type="character" w:styleId="14" w:customStyle="1">
    <w:name w:val="Неразрешенное упоминание1"/>
    <w:basedOn w:val="a0"/>
    <w:uiPriority w:val="99"/>
    <w:semiHidden w:val="1"/>
    <w:qFormat w:val="1"/>
    <w:rPr>
      <w:rFonts w:cs="Times New Roman"/>
      <w:color w:val="605e5c"/>
      <w:shd w:color="auto" w:fill="e1dfdd" w:val="clear"/>
    </w:rPr>
  </w:style>
  <w:style w:type="character" w:styleId="ac" w:customStyle="1">
    <w:name w:val="Верхний колонтитул Знак"/>
    <w:basedOn w:val="a0"/>
    <w:link w:val="ab"/>
    <w:qFormat w:val="1"/>
    <w:locked w:val="1"/>
    <w:rPr>
      <w:rFonts w:ascii="Calibri" w:cs="Calibri" w:hAnsi="Calibri"/>
      <w:lang w:eastAsia="ru-RU" w:val="ru-RU"/>
    </w:rPr>
  </w:style>
  <w:style w:type="character" w:styleId="af2" w:customStyle="1">
    <w:name w:val="Нижний колонтитул Знак"/>
    <w:basedOn w:val="a0"/>
    <w:link w:val="af1"/>
    <w:uiPriority w:val="99"/>
    <w:qFormat w:val="1"/>
    <w:locked w:val="1"/>
    <w:rPr>
      <w:rFonts w:ascii="Calibri" w:cs="Calibri" w:hAnsi="Calibri"/>
      <w:lang w:eastAsia="ru-RU" w:val="ru-RU"/>
    </w:rPr>
  </w:style>
  <w:style w:type="character" w:styleId="23" w:customStyle="1">
    <w:name w:val="Неразрешенное упоминание2"/>
    <w:basedOn w:val="a0"/>
    <w:uiPriority w:val="99"/>
    <w:semiHidden w:val="1"/>
    <w:qFormat w:val="1"/>
    <w:rPr>
      <w:rFonts w:cs="Times New Roman"/>
      <w:color w:val="605e5c"/>
      <w:shd w:color="auto" w:fill="e1dfdd" w:val="clear"/>
    </w:rPr>
  </w:style>
  <w:style w:type="paragraph" w:styleId="afa" w:customStyle="1">
    <w:name w:val="Вміст таблиці"/>
    <w:basedOn w:val="a"/>
    <w:qFormat w:val="1"/>
    <w:pPr>
      <w:widowControl w:val="0"/>
      <w:suppressLineNumbers w:val="1"/>
      <w:suppressAutoHyphens w:val="1"/>
      <w:spacing w:line="240" w:lineRule="auto"/>
    </w:pPr>
    <w:rPr>
      <w:rFonts w:ascii="Times New Roman" w:cs="Times New Roman" w:eastAsia="Times New Roman" w:hAnsi="Times New Roman"/>
      <w:sz w:val="20"/>
      <w:szCs w:val="20"/>
    </w:rPr>
  </w:style>
  <w:style w:type="character" w:styleId="aa" w:customStyle="1">
    <w:name w:val="Схема документа Знак"/>
    <w:basedOn w:val="a0"/>
    <w:link w:val="a9"/>
    <w:uiPriority w:val="99"/>
    <w:semiHidden w:val="1"/>
    <w:qFormat w:val="1"/>
    <w:locked w:val="1"/>
    <w:rPr>
      <w:rFonts w:ascii="Times New Roman" w:cs="Calibri" w:hAnsi="Times New Roman"/>
      <w:sz w:val="2"/>
    </w:rPr>
  </w:style>
  <w:style w:type="character" w:styleId="ae" w:customStyle="1">
    <w:name w:val="Основной текст Знак"/>
    <w:basedOn w:val="a0"/>
    <w:link w:val="ad"/>
    <w:uiPriority w:val="99"/>
    <w:semiHidden w:val="1"/>
    <w:qFormat w:val="1"/>
    <w:locked w:val="1"/>
    <w:rPr>
      <w:rFonts w:cs="Calibri"/>
    </w:rPr>
  </w:style>
  <w:style w:type="paragraph" w:styleId="15" w:customStyle="1">
    <w:name w:val="Абзац списка1"/>
    <w:basedOn w:val="a"/>
    <w:uiPriority w:val="99"/>
    <w:qFormat w:val="1"/>
    <w:pPr>
      <w:spacing w:line="240" w:lineRule="auto"/>
      <w:ind w:left="720"/>
      <w:contextualSpacing w:val="1"/>
    </w:pPr>
    <w:rPr>
      <w:rFonts w:ascii="Times New Roman" w:cs="Times New Roman" w:hAnsi="Times New Roman"/>
      <w:sz w:val="20"/>
      <w:szCs w:val="20"/>
    </w:rPr>
  </w:style>
  <w:style w:type="character" w:styleId="spelle" w:customStyle="1">
    <w:name w:val="spelle"/>
    <w:basedOn w:val="a0"/>
    <w:uiPriority w:val="99"/>
    <w:qFormat w:val="1"/>
    <w:rPr>
      <w:rFonts w:cs="Times New Roman"/>
    </w:rPr>
  </w:style>
  <w:style w:type="paragraph" w:styleId="msolistparagraph0" w:customStyle="1">
    <w:name w:val="msolistparagraph"/>
    <w:basedOn w:val="a"/>
    <w:uiPriority w:val="99"/>
    <w:qFormat w:val="1"/>
    <w:pPr>
      <w:spacing w:after="100" w:afterAutospacing="1" w:before="100" w:beforeAutospacing="1" w:line="240" w:lineRule="auto"/>
    </w:pPr>
    <w:rPr>
      <w:rFonts w:ascii="Times New Roman" w:cs="Times New Roman" w:hAnsi="Times New Roman"/>
      <w:sz w:val="24"/>
      <w:szCs w:val="24"/>
    </w:rPr>
  </w:style>
  <w:style w:type="paragraph" w:styleId="default0" w:customStyle="1">
    <w:name w:val="default"/>
    <w:basedOn w:val="a"/>
    <w:uiPriority w:val="99"/>
    <w:qFormat w:val="1"/>
    <w:pPr>
      <w:spacing w:after="100" w:afterAutospacing="1" w:before="100" w:beforeAutospacing="1" w:line="240" w:lineRule="auto"/>
    </w:pPr>
    <w:rPr>
      <w:rFonts w:ascii="Times New Roman" w:cs="Times New Roman" w:hAnsi="Times New Roman"/>
      <w:sz w:val="24"/>
      <w:szCs w:val="24"/>
    </w:rPr>
  </w:style>
  <w:style w:type="character" w:styleId="afb" w:customStyle="1">
    <w:name w:val="Оглавление_"/>
    <w:link w:val="16"/>
    <w:uiPriority w:val="99"/>
    <w:qFormat w:val="1"/>
    <w:locked w:val="1"/>
    <w:rPr>
      <w:sz w:val="28"/>
      <w:shd w:color="auto" w:fill="ffffff" w:val="clear"/>
    </w:rPr>
  </w:style>
  <w:style w:type="paragraph" w:styleId="16" w:customStyle="1">
    <w:name w:val="Оглавление1"/>
    <w:basedOn w:val="a"/>
    <w:link w:val="afb"/>
    <w:uiPriority w:val="99"/>
    <w:qFormat w:val="1"/>
    <w:pPr>
      <w:widowControl w:val="0"/>
      <w:shd w:color="auto" w:fill="ffffff" w:val="clear"/>
      <w:spacing w:after="300" w:line="317" w:lineRule="exact"/>
      <w:jc w:val="both"/>
    </w:pPr>
    <w:rPr>
      <w:rFonts w:cs="Times New Roman"/>
      <w:sz w:val="28"/>
      <w:szCs w:val="20"/>
      <w:shd w:color="auto" w:fill="ffffff" w:val="clear"/>
    </w:rPr>
  </w:style>
  <w:style w:type="paragraph" w:styleId="Textbody" w:customStyle="1">
    <w:name w:val="Text body"/>
    <w:basedOn w:val="a"/>
    <w:uiPriority w:val="99"/>
    <w:qFormat w:val="1"/>
    <w:pPr>
      <w:suppressAutoHyphens w:val="1"/>
      <w:autoSpaceDN w:val="0"/>
      <w:spacing w:after="140" w:line="288" w:lineRule="auto"/>
      <w:textAlignment w:val="baseline"/>
    </w:pPr>
    <w:rPr>
      <w:rFonts w:ascii="Times New Roman" w:cs="Times New Roman" w:hAnsi="Times New Roman"/>
      <w:sz w:val="24"/>
      <w:szCs w:val="24"/>
    </w:rPr>
  </w:style>
  <w:style w:type="character" w:styleId="17" w:customStyle="1">
    <w:name w:val="Незакрита згадка1"/>
    <w:basedOn w:val="a0"/>
    <w:uiPriority w:val="99"/>
    <w:semiHidden w:val="1"/>
    <w:unhideWhenUsed w:val="1"/>
    <w:qFormat w:val="1"/>
    <w:rPr>
      <w:color w:val="605e5c"/>
      <w:shd w:color="auto" w:fill="e1dfdd" w:val="clear"/>
    </w:rPr>
  </w:style>
  <w:style w:type="character" w:styleId="a8" w:customStyle="1">
    <w:name w:val="Текст выноски Знак"/>
    <w:basedOn w:val="a0"/>
    <w:link w:val="a7"/>
    <w:uiPriority w:val="99"/>
    <w:semiHidden w:val="1"/>
    <w:qFormat w:val="1"/>
    <w:rPr>
      <w:rFonts w:ascii="Tahoma" w:cs="Tahoma" w:hAnsi="Tahoma"/>
      <w:sz w:val="16"/>
      <w:szCs w:val="16"/>
    </w:rPr>
  </w:style>
  <w:style w:type="character" w:styleId="33" w:customStyle="1">
    <w:name w:val="Неразрешенное упоминание3"/>
    <w:basedOn w:val="a0"/>
    <w:uiPriority w:val="99"/>
    <w:semiHidden w:val="1"/>
    <w:unhideWhenUsed w:val="1"/>
    <w:qFormat w:val="1"/>
    <w:rPr>
      <w:color w:val="605e5c"/>
      <w:shd w:color="auto" w:fill="e1dfdd" w:val="clear"/>
    </w:rPr>
  </w:style>
  <w:style w:type="paragraph" w:styleId="afc">
    <w:name w:val="Body Text Indent"/>
    <w:basedOn w:val="a"/>
    <w:link w:val="afd"/>
    <w:uiPriority w:val="99"/>
    <w:qFormat w:val="1"/>
    <w:rsid w:val="001145D8"/>
    <w:pPr>
      <w:spacing w:after="120" w:line="240" w:lineRule="auto"/>
      <w:ind w:left="283"/>
    </w:pPr>
    <w:rPr>
      <w:rFonts w:ascii="Times New Roman" w:cs="Times New Roman" w:eastAsia="Times New Roman" w:hAnsi="Times New Roman"/>
      <w:sz w:val="20"/>
      <w:szCs w:val="20"/>
    </w:rPr>
  </w:style>
  <w:style w:type="character" w:styleId="afd" w:customStyle="1">
    <w:name w:val="Основной текст с отступом Знак"/>
    <w:basedOn w:val="a0"/>
    <w:link w:val="afc"/>
    <w:uiPriority w:val="99"/>
    <w:qFormat w:val="1"/>
    <w:rsid w:val="001145D8"/>
    <w:rPr>
      <w:rFonts w:ascii="Times New Roman" w:eastAsia="Times New Roman" w:hAnsi="Times New Roman"/>
    </w:rPr>
  </w:style>
  <w:style w:type="paragraph" w:styleId="afe">
    <w:name w:val="No Spacing"/>
    <w:uiPriority w:val="1"/>
    <w:qFormat w:val="1"/>
    <w:rsid w:val="001145D8"/>
    <w:rPr>
      <w:rFonts w:asciiTheme="minorHAnsi" w:cstheme="minorBidi" w:eastAsiaTheme="minorHAnsi" w:hAnsiTheme="minorHAnsi"/>
      <w:kern w:val="2"/>
      <w:sz w:val="24"/>
      <w:szCs w:val="24"/>
      <w:lang w:eastAsia="en-US" w:val="en-US"/>
    </w:rPr>
  </w:style>
  <w:style w:type="character" w:styleId="ng-star-inserted" w:customStyle="1">
    <w:name w:val="ng-star-inserted"/>
    <w:basedOn w:val="a0"/>
    <w:rsid w:val="00706D38"/>
  </w:style>
  <w:style w:type="paragraph" w:styleId="Subtitle">
    <w:name w:val="Subtitle"/>
    <w:basedOn w:val="Normal"/>
    <w:next w:val="Normal"/>
    <w:pPr>
      <w:spacing w:after="160" w:line="240" w:lineRule="auto"/>
      <w:ind w:firstLine="709"/>
      <w:jc w:val="both"/>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ber.org/papers/w2371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epositary.knuba.edu.ua/items/ba581483-d2be-44a5-a9b8-03cafdee1cd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aPYnjeWYrX7Vajms82jzhjT8w==">CgMxLjAyDmguaHB2aDl5MXpzcTFjMg5oLjdqOXJ3N243ZTk5ajIOaC51b3lvcmJod2kxYjU4AHIhMXREZ2V3cjNScE93MHd6dktrYVgtVENmMTRlM0pFWmZJ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2025-12-08T11:36:00Z</dcterms:created>
  <dc:creator>Dmytro Polozhentsev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fd7aedced3f2d0f4c42648035a8b68fb975a14789ee81299f1592df4b5f76f39</vt:lpwstr>
  </property>
  <property fmtid="{D5CDD505-2E9C-101B-9397-08002B2CF9AE}" pid="3" name="KSOProductBuildVer">
    <vt:lpwstr>1049-12.2.0.22549</vt:lpwstr>
  </property>
  <property fmtid="{D5CDD505-2E9C-101B-9397-08002B2CF9AE}" pid="4" name="ICV">
    <vt:lpwstr>C6C11419653D440183FC082EC58F5661_12</vt:lpwstr>
  </property>
</Properties>
</file>