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86B872">
      <w:pPr>
        <w:widowControl w:val="0"/>
        <w:numPr>
          <w:ilvl w:val="0"/>
          <w:numId w:val="1"/>
        </w:numPr>
        <w:tabs>
          <w:tab w:val="clear" w:pos="0"/>
        </w:tabs>
        <w:suppressAutoHyphens w:val="0"/>
        <w:ind w:right="-1"/>
        <w:jc w:val="center"/>
        <w:rPr>
          <w:sz w:val="28"/>
          <w:szCs w:val="28"/>
          <w:lang w:val="en-GB"/>
        </w:rPr>
      </w:pPr>
      <w:r>
        <w:rPr>
          <w:b/>
          <w:bCs/>
          <w:sz w:val="28"/>
          <w:szCs w:val="28"/>
          <w:lang w:val="en-GB"/>
        </w:rPr>
        <w:t xml:space="preserve">PJSC “Higher Educational Institution </w:t>
      </w:r>
    </w:p>
    <w:p w14:paraId="7F5EBDA9">
      <w:pPr>
        <w:widowControl w:val="0"/>
        <w:numPr>
          <w:ilvl w:val="0"/>
          <w:numId w:val="1"/>
        </w:numPr>
        <w:tabs>
          <w:tab w:val="clear" w:pos="0"/>
        </w:tabs>
        <w:suppressAutoHyphens w:val="0"/>
        <w:ind w:right="-1"/>
        <w:jc w:val="center"/>
        <w:rPr>
          <w:sz w:val="28"/>
          <w:szCs w:val="28"/>
          <w:lang w:val="en-GB"/>
        </w:rPr>
      </w:pPr>
      <w:r>
        <w:rPr>
          <w:b/>
          <w:bCs/>
          <w:sz w:val="28"/>
          <w:szCs w:val="28"/>
          <w:lang w:val="en-GB"/>
        </w:rPr>
        <w:t>“INTERREGIONAL ACADEMY OF PERSONNEL MANAGEMENT”</w:t>
      </w:r>
    </w:p>
    <w:p w14:paraId="709EEAD6">
      <w:pPr>
        <w:widowControl w:val="0"/>
        <w:numPr>
          <w:ilvl w:val="0"/>
          <w:numId w:val="1"/>
        </w:numPr>
        <w:tabs>
          <w:tab w:val="clear" w:pos="0"/>
        </w:tabs>
        <w:suppressAutoHyphens w:val="0"/>
        <w:ind w:right="-1"/>
        <w:rPr>
          <w:sz w:val="28"/>
          <w:szCs w:val="28"/>
          <w:lang w:val="en-GB"/>
        </w:rPr>
      </w:pPr>
    </w:p>
    <w:p w14:paraId="1BA40A0E">
      <w:pPr>
        <w:widowControl w:val="0"/>
        <w:ind w:right="-1"/>
        <w:rPr>
          <w:sz w:val="28"/>
          <w:szCs w:val="28"/>
          <w:lang w:val="en-GB"/>
        </w:rPr>
      </w:pPr>
    </w:p>
    <w:p w14:paraId="7F228DBA">
      <w:pPr>
        <w:widowControl w:val="0"/>
        <w:ind w:right="-1"/>
        <w:jc w:val="center"/>
        <w:rPr>
          <w:sz w:val="28"/>
          <w:szCs w:val="28"/>
          <w:lang w:val="en-GB"/>
        </w:rPr>
      </w:pPr>
      <w:r>
        <w:rPr>
          <w:sz w:val="28"/>
          <w:szCs w:val="28"/>
        </w:rPr>
        <w:drawing>
          <wp:inline distT="0" distB="0" distL="0" distR="0">
            <wp:extent cx="688975" cy="815975"/>
            <wp:effectExtent l="0" t="0" r="0" b="0"/>
            <wp:docPr id="2" name="Рисунок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A black and white logo&#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88975" cy="815975"/>
                    </a:xfrm>
                    <a:prstGeom prst="rect">
                      <a:avLst/>
                    </a:prstGeom>
                    <a:noFill/>
                    <a:ln>
                      <a:noFill/>
                    </a:ln>
                  </pic:spPr>
                </pic:pic>
              </a:graphicData>
            </a:graphic>
          </wp:inline>
        </w:drawing>
      </w:r>
    </w:p>
    <w:p w14:paraId="6BA4262F">
      <w:pPr>
        <w:widowControl w:val="0"/>
        <w:ind w:right="-1"/>
        <w:rPr>
          <w:sz w:val="28"/>
          <w:szCs w:val="28"/>
          <w:lang w:val="en-GB"/>
        </w:rPr>
      </w:pPr>
    </w:p>
    <w:p w14:paraId="1359BE9B">
      <w:pPr>
        <w:widowControl w:val="0"/>
        <w:ind w:right="-1"/>
        <w:rPr>
          <w:sz w:val="28"/>
          <w:szCs w:val="28"/>
          <w:lang w:val="en-GB"/>
        </w:rPr>
      </w:pPr>
    </w:p>
    <w:p w14:paraId="74F1F894">
      <w:pPr>
        <w:widowControl w:val="0"/>
        <w:ind w:right="-1"/>
        <w:rPr>
          <w:sz w:val="28"/>
          <w:szCs w:val="28"/>
          <w:lang w:val="en-GB"/>
        </w:rPr>
      </w:pPr>
    </w:p>
    <w:p w14:paraId="01DA2F6B">
      <w:pPr>
        <w:widowControl w:val="0"/>
        <w:ind w:right="-1"/>
        <w:rPr>
          <w:sz w:val="28"/>
          <w:szCs w:val="28"/>
          <w:lang w:val="en-GB"/>
        </w:rPr>
      </w:pPr>
    </w:p>
    <w:p w14:paraId="2A59D3D8">
      <w:pPr>
        <w:pStyle w:val="3"/>
        <w:keepNext w:val="0"/>
        <w:widowControl w:val="0"/>
        <w:numPr>
          <w:ilvl w:val="0"/>
          <w:numId w:val="1"/>
        </w:numPr>
        <w:tabs>
          <w:tab w:val="clear" w:pos="0"/>
        </w:tabs>
        <w:suppressAutoHyphens w:val="0"/>
        <w:spacing w:before="0" w:after="0"/>
        <w:ind w:right="-1"/>
        <w:jc w:val="center"/>
        <w:rPr>
          <w:rFonts w:ascii="Times New Roman" w:hAnsi="Times New Roman" w:cs="Times New Roman"/>
          <w:i w:val="0"/>
          <w:lang w:val="en-GB"/>
        </w:rPr>
      </w:pPr>
      <w:r>
        <w:rPr>
          <w:rFonts w:ascii="Times New Roman" w:hAnsi="Times New Roman" w:cs="Times New Roman"/>
          <w:lang w:val="en-GB"/>
        </w:rPr>
        <w:br w:type="textWrapping"/>
      </w:r>
      <w:r>
        <w:rPr>
          <w:rFonts w:ascii="Times New Roman" w:hAnsi="Times New Roman" w:cs="Times New Roman"/>
          <w:lang w:val="en-GB"/>
        </w:rPr>
        <w:br w:type="textWrapping"/>
      </w:r>
      <w:r>
        <w:rPr>
          <w:rFonts w:ascii="Times New Roman" w:hAnsi="Times New Roman" w:cs="Times New Roman"/>
          <w:i w:val="0"/>
          <w:lang w:val="en-GB"/>
        </w:rPr>
        <w:t>SYLLABUS</w:t>
      </w:r>
    </w:p>
    <w:p w14:paraId="5320D33F">
      <w:pPr>
        <w:widowControl w:val="0"/>
        <w:ind w:right="-1"/>
        <w:jc w:val="center"/>
        <w:rPr>
          <w:b/>
          <w:bCs/>
          <w:sz w:val="28"/>
          <w:szCs w:val="28"/>
          <w:lang w:val="en-GB"/>
        </w:rPr>
      </w:pPr>
      <w:r>
        <w:rPr>
          <w:i/>
          <w:sz w:val="28"/>
          <w:szCs w:val="28"/>
          <w:lang w:val="en-GB"/>
        </w:rPr>
        <w:t>of the academic discipline</w:t>
      </w:r>
    </w:p>
    <w:p w14:paraId="2D54F732">
      <w:pPr>
        <w:pStyle w:val="3"/>
        <w:keepNext w:val="0"/>
        <w:widowControl w:val="0"/>
        <w:numPr>
          <w:ilvl w:val="0"/>
          <w:numId w:val="1"/>
        </w:numPr>
        <w:tabs>
          <w:tab w:val="clear" w:pos="0"/>
        </w:tabs>
        <w:suppressAutoHyphens w:val="0"/>
        <w:spacing w:before="0" w:after="0"/>
        <w:ind w:right="-1"/>
        <w:jc w:val="center"/>
        <w:rPr>
          <w:rFonts w:ascii="Times New Roman" w:hAnsi="Times New Roman" w:cs="Times New Roman"/>
          <w:i w:val="0"/>
          <w:iCs w:val="0"/>
          <w:lang w:val="en-GB"/>
        </w:rPr>
      </w:pPr>
    </w:p>
    <w:p w14:paraId="2F9C14CD">
      <w:pPr>
        <w:pStyle w:val="3"/>
        <w:keepNext w:val="0"/>
        <w:widowControl w:val="0"/>
        <w:numPr>
          <w:ilvl w:val="0"/>
          <w:numId w:val="1"/>
        </w:numPr>
        <w:tabs>
          <w:tab w:val="clear" w:pos="0"/>
        </w:tabs>
        <w:suppressAutoHyphens w:val="0"/>
        <w:spacing w:before="0" w:after="0"/>
        <w:ind w:right="-1"/>
        <w:jc w:val="center"/>
        <w:rPr>
          <w:rFonts w:ascii="Times New Roman" w:hAnsi="Times New Roman" w:cs="Times New Roman"/>
          <w:i w:val="0"/>
          <w:iCs w:val="0"/>
          <w:lang w:val="en-GB"/>
        </w:rPr>
      </w:pPr>
      <w:r>
        <w:rPr>
          <w:rFonts w:ascii="Times New Roman" w:hAnsi="Times New Roman" w:cs="Times New Roman"/>
          <w:i w:val="0"/>
          <w:iCs w:val="0"/>
          <w:lang w:val="en-GB"/>
        </w:rPr>
        <w:t>FUNDAMENTALS OF ENTREPRENEURIAL ACTIVITY</w:t>
      </w:r>
    </w:p>
    <w:p w14:paraId="11D6DBEF">
      <w:pPr>
        <w:widowControl w:val="0"/>
        <w:ind w:right="-1"/>
        <w:rPr>
          <w:sz w:val="28"/>
          <w:szCs w:val="28"/>
          <w:lang w:val="en-GB"/>
        </w:rPr>
      </w:pPr>
    </w:p>
    <w:p w14:paraId="7AC02308">
      <w:pPr>
        <w:widowControl w:val="0"/>
        <w:ind w:right="-1"/>
        <w:rPr>
          <w:sz w:val="28"/>
          <w:szCs w:val="28"/>
          <w:lang w:val="en-GB"/>
        </w:rPr>
      </w:pPr>
    </w:p>
    <w:p w14:paraId="380CE77D">
      <w:pPr>
        <w:widowControl w:val="0"/>
        <w:ind w:right="-1"/>
        <w:rPr>
          <w:sz w:val="28"/>
          <w:szCs w:val="28"/>
          <w:lang w:val="en-GB"/>
        </w:rPr>
      </w:pPr>
    </w:p>
    <w:tbl>
      <w:tblPr>
        <w:tblStyle w:val="7"/>
        <w:tblW w:w="9628" w:type="dxa"/>
        <w:tblInd w:w="-108" w:type="dxa"/>
        <w:tblLayout w:type="fixed"/>
        <w:tblCellMar>
          <w:top w:w="0" w:type="dxa"/>
          <w:left w:w="108" w:type="dxa"/>
          <w:bottom w:w="0" w:type="dxa"/>
          <w:right w:w="108" w:type="dxa"/>
        </w:tblCellMar>
      </w:tblPr>
      <w:tblGrid>
        <w:gridCol w:w="3936"/>
        <w:gridCol w:w="5692"/>
      </w:tblGrid>
      <w:tr w14:paraId="1E9341A5">
        <w:tblPrEx>
          <w:tblCellMar>
            <w:top w:w="0" w:type="dxa"/>
            <w:left w:w="108" w:type="dxa"/>
            <w:bottom w:w="0" w:type="dxa"/>
            <w:right w:w="108" w:type="dxa"/>
          </w:tblCellMar>
        </w:tblPrEx>
        <w:tc>
          <w:tcPr>
            <w:tcW w:w="3936" w:type="dxa"/>
          </w:tcPr>
          <w:p w14:paraId="62196A5E">
            <w:pPr>
              <w:widowControl w:val="0"/>
              <w:pBdr>
                <w:top w:val="none" w:color="auto" w:sz="0" w:space="0"/>
                <w:left w:val="none" w:color="auto" w:sz="0" w:space="0"/>
                <w:bottom w:val="none" w:color="auto" w:sz="0" w:space="0"/>
                <w:right w:val="none" w:color="auto" w:sz="0" w:space="0"/>
                <w:between w:val="none" w:color="auto" w:sz="0" w:space="0"/>
              </w:pBdr>
              <w:ind w:right="-1"/>
              <w:rPr>
                <w:b/>
                <w:sz w:val="28"/>
                <w:szCs w:val="28"/>
              </w:rPr>
            </w:pPr>
            <w:r>
              <w:rPr>
                <w:b/>
                <w:sz w:val="28"/>
                <w:szCs w:val="28"/>
              </w:rPr>
              <w:t>Level of higher education:</w:t>
            </w:r>
          </w:p>
          <w:p w14:paraId="04128EB0">
            <w:pPr>
              <w:widowControl w:val="0"/>
              <w:pBdr>
                <w:top w:val="none" w:color="auto" w:sz="0" w:space="0"/>
                <w:left w:val="none" w:color="auto" w:sz="0" w:space="0"/>
                <w:bottom w:val="none" w:color="auto" w:sz="0" w:space="0"/>
                <w:right w:val="none" w:color="auto" w:sz="0" w:space="0"/>
                <w:between w:val="none" w:color="auto" w:sz="0" w:space="0"/>
              </w:pBdr>
              <w:ind w:right="-1"/>
              <w:rPr>
                <w:b/>
                <w:sz w:val="28"/>
                <w:szCs w:val="28"/>
              </w:rPr>
            </w:pPr>
          </w:p>
        </w:tc>
        <w:tc>
          <w:tcPr>
            <w:tcW w:w="5692" w:type="dxa"/>
          </w:tcPr>
          <w:p w14:paraId="56F8B70D">
            <w:pPr>
              <w:widowControl w:val="0"/>
              <w:pBdr>
                <w:top w:val="none" w:color="auto" w:sz="0" w:space="0"/>
                <w:left w:val="none" w:color="auto" w:sz="0" w:space="0"/>
                <w:bottom w:val="none" w:color="auto" w:sz="0" w:space="0"/>
                <w:right w:val="none" w:color="auto" w:sz="0" w:space="0"/>
                <w:between w:val="none" w:color="auto" w:sz="0" w:space="0"/>
              </w:pBdr>
              <w:ind w:right="-1"/>
              <w:rPr>
                <w:sz w:val="28"/>
                <w:szCs w:val="28"/>
              </w:rPr>
            </w:pPr>
            <w:r>
              <w:rPr>
                <w:sz w:val="28"/>
                <w:szCs w:val="28"/>
              </w:rPr>
              <w:t>first (bachelor's) level</w:t>
            </w:r>
          </w:p>
        </w:tc>
      </w:tr>
      <w:tr w14:paraId="06BA351D">
        <w:tblPrEx>
          <w:tblCellMar>
            <w:top w:w="0" w:type="dxa"/>
            <w:left w:w="108" w:type="dxa"/>
            <w:bottom w:w="0" w:type="dxa"/>
            <w:right w:w="108" w:type="dxa"/>
          </w:tblCellMar>
        </w:tblPrEx>
        <w:tc>
          <w:tcPr>
            <w:tcW w:w="3936" w:type="dxa"/>
          </w:tcPr>
          <w:p w14:paraId="124A1B34">
            <w:pPr>
              <w:widowControl w:val="0"/>
              <w:pBdr>
                <w:top w:val="none" w:color="auto" w:sz="0" w:space="0"/>
                <w:left w:val="none" w:color="auto" w:sz="0" w:space="0"/>
                <w:bottom w:val="none" w:color="auto" w:sz="0" w:space="0"/>
                <w:right w:val="none" w:color="auto" w:sz="0" w:space="0"/>
                <w:between w:val="none" w:color="auto" w:sz="0" w:space="0"/>
              </w:pBdr>
              <w:ind w:right="-1"/>
              <w:rPr>
                <w:b/>
                <w:sz w:val="28"/>
                <w:szCs w:val="28"/>
              </w:rPr>
            </w:pPr>
            <w:r>
              <w:rPr>
                <w:b/>
                <w:sz w:val="28"/>
                <w:szCs w:val="28"/>
              </w:rPr>
              <w:t xml:space="preserve">Field of knowledge: </w:t>
            </w:r>
          </w:p>
        </w:tc>
        <w:tc>
          <w:tcPr>
            <w:tcW w:w="5692" w:type="dxa"/>
          </w:tcPr>
          <w:p w14:paraId="40025F93">
            <w:pPr>
              <w:widowControl w:val="0"/>
              <w:pBdr>
                <w:top w:val="none" w:color="auto" w:sz="0" w:space="0"/>
                <w:left w:val="none" w:color="auto" w:sz="0" w:space="0"/>
                <w:bottom w:val="none" w:color="auto" w:sz="0" w:space="0"/>
                <w:right w:val="none" w:color="auto" w:sz="0" w:space="0"/>
                <w:between w:val="none" w:color="auto" w:sz="0" w:space="0"/>
              </w:pBdr>
              <w:ind w:right="-1"/>
              <w:rPr>
                <w:sz w:val="28"/>
                <w:szCs w:val="28"/>
              </w:rPr>
            </w:pPr>
            <w:r>
              <w:rPr>
                <w:sz w:val="28"/>
                <w:szCs w:val="28"/>
              </w:rPr>
              <w:t>D Business, Administration and Law</w:t>
            </w:r>
          </w:p>
          <w:p w14:paraId="36196165">
            <w:pPr>
              <w:widowControl w:val="0"/>
              <w:pBdr>
                <w:top w:val="none" w:color="auto" w:sz="0" w:space="0"/>
                <w:left w:val="none" w:color="auto" w:sz="0" w:space="0"/>
                <w:bottom w:val="none" w:color="auto" w:sz="0" w:space="0"/>
                <w:right w:val="none" w:color="auto" w:sz="0" w:space="0"/>
                <w:between w:val="none" w:color="auto" w:sz="0" w:space="0"/>
              </w:pBdr>
              <w:ind w:right="-1"/>
              <w:rPr>
                <w:sz w:val="28"/>
                <w:szCs w:val="28"/>
              </w:rPr>
            </w:pPr>
          </w:p>
        </w:tc>
      </w:tr>
      <w:tr w14:paraId="39715BF6">
        <w:tblPrEx>
          <w:tblCellMar>
            <w:top w:w="0" w:type="dxa"/>
            <w:left w:w="108" w:type="dxa"/>
            <w:bottom w:w="0" w:type="dxa"/>
            <w:right w:w="108" w:type="dxa"/>
          </w:tblCellMar>
        </w:tblPrEx>
        <w:tc>
          <w:tcPr>
            <w:tcW w:w="3936" w:type="dxa"/>
          </w:tcPr>
          <w:p w14:paraId="30944FB6">
            <w:pPr>
              <w:widowControl w:val="0"/>
              <w:pBdr>
                <w:top w:val="none" w:color="auto" w:sz="0" w:space="0"/>
                <w:left w:val="none" w:color="auto" w:sz="0" w:space="0"/>
                <w:bottom w:val="none" w:color="auto" w:sz="0" w:space="0"/>
                <w:right w:val="none" w:color="auto" w:sz="0" w:space="0"/>
                <w:between w:val="none" w:color="auto" w:sz="0" w:space="0"/>
              </w:pBdr>
              <w:ind w:right="-1"/>
              <w:rPr>
                <w:b/>
                <w:sz w:val="28"/>
                <w:szCs w:val="28"/>
              </w:rPr>
            </w:pPr>
            <w:r>
              <w:rPr>
                <w:b/>
                <w:sz w:val="28"/>
                <w:szCs w:val="28"/>
              </w:rPr>
              <w:t>Specialty:</w:t>
            </w:r>
          </w:p>
          <w:p w14:paraId="44C2B91B">
            <w:pPr>
              <w:widowControl w:val="0"/>
              <w:pBdr>
                <w:top w:val="none" w:color="auto" w:sz="0" w:space="0"/>
                <w:left w:val="none" w:color="auto" w:sz="0" w:space="0"/>
                <w:bottom w:val="none" w:color="auto" w:sz="0" w:space="0"/>
                <w:right w:val="none" w:color="auto" w:sz="0" w:space="0"/>
                <w:between w:val="none" w:color="auto" w:sz="0" w:space="0"/>
              </w:pBdr>
              <w:ind w:right="-1"/>
              <w:rPr>
                <w:b/>
                <w:sz w:val="28"/>
                <w:szCs w:val="28"/>
              </w:rPr>
            </w:pPr>
          </w:p>
        </w:tc>
        <w:tc>
          <w:tcPr>
            <w:tcW w:w="5692" w:type="dxa"/>
          </w:tcPr>
          <w:p w14:paraId="7D441F4A">
            <w:pPr>
              <w:widowControl w:val="0"/>
              <w:pBdr>
                <w:top w:val="none" w:color="auto" w:sz="0" w:space="0"/>
                <w:left w:val="none" w:color="auto" w:sz="0" w:space="0"/>
                <w:bottom w:val="none" w:color="auto" w:sz="0" w:space="0"/>
                <w:right w:val="none" w:color="auto" w:sz="0" w:space="0"/>
                <w:between w:val="none" w:color="auto" w:sz="0" w:space="0"/>
              </w:pBdr>
              <w:ind w:right="-1"/>
              <w:rPr>
                <w:sz w:val="28"/>
                <w:szCs w:val="28"/>
              </w:rPr>
            </w:pPr>
            <w:r>
              <w:rPr>
                <w:sz w:val="28"/>
                <w:szCs w:val="28"/>
              </w:rPr>
              <w:t>D3 Management</w:t>
            </w:r>
          </w:p>
        </w:tc>
      </w:tr>
      <w:tr w14:paraId="2492BCE3">
        <w:tblPrEx>
          <w:tblCellMar>
            <w:top w:w="0" w:type="dxa"/>
            <w:left w:w="108" w:type="dxa"/>
            <w:bottom w:w="0" w:type="dxa"/>
            <w:right w:w="108" w:type="dxa"/>
          </w:tblCellMar>
        </w:tblPrEx>
        <w:tc>
          <w:tcPr>
            <w:tcW w:w="3936" w:type="dxa"/>
          </w:tcPr>
          <w:p w14:paraId="4CE1AC6E">
            <w:pPr>
              <w:widowControl w:val="0"/>
              <w:pBdr>
                <w:top w:val="none" w:color="auto" w:sz="0" w:space="0"/>
                <w:left w:val="none" w:color="auto" w:sz="0" w:space="0"/>
                <w:bottom w:val="none" w:color="auto" w:sz="0" w:space="0"/>
                <w:right w:val="none" w:color="auto" w:sz="0" w:space="0"/>
                <w:between w:val="none" w:color="auto" w:sz="0" w:space="0"/>
              </w:pBdr>
              <w:ind w:right="-1"/>
              <w:rPr>
                <w:b/>
                <w:sz w:val="28"/>
                <w:szCs w:val="28"/>
              </w:rPr>
            </w:pPr>
            <w:r>
              <w:rPr>
                <w:b/>
                <w:sz w:val="28"/>
                <w:szCs w:val="28"/>
                <w:lang w:val="en-GB"/>
              </w:rPr>
              <w:t>Study program:</w:t>
            </w:r>
          </w:p>
        </w:tc>
        <w:tc>
          <w:tcPr>
            <w:tcW w:w="5692" w:type="dxa"/>
          </w:tcPr>
          <w:p w14:paraId="08A0DD6B">
            <w:pPr>
              <w:pStyle w:val="3"/>
              <w:keepNext w:val="0"/>
              <w:widowControl w:val="0"/>
              <w:spacing w:before="0" w:after="0"/>
              <w:ind w:right="-1"/>
              <w:rPr>
                <w:rFonts w:ascii="Times New Roman" w:hAnsi="Times New Roman" w:cs="Times New Roman"/>
                <w:b w:val="0"/>
                <w:bCs w:val="0"/>
                <w:i w:val="0"/>
                <w:lang w:val="en-GB"/>
              </w:rPr>
            </w:pPr>
            <w:r>
              <w:rPr>
                <w:rFonts w:ascii="Times New Roman" w:hAnsi="Times New Roman" w:cs="Times New Roman"/>
                <w:b w:val="0"/>
                <w:bCs w:val="0"/>
                <w:i w:val="0"/>
                <w:iCs w:val="0"/>
                <w:lang w:val="en-GB"/>
              </w:rPr>
              <w:t>Management</w:t>
            </w:r>
          </w:p>
          <w:p w14:paraId="1E5B031A">
            <w:pPr>
              <w:widowControl w:val="0"/>
              <w:pBdr>
                <w:top w:val="none" w:color="auto" w:sz="0" w:space="0"/>
                <w:left w:val="none" w:color="auto" w:sz="0" w:space="0"/>
                <w:bottom w:val="none" w:color="auto" w:sz="0" w:space="0"/>
                <w:right w:val="none" w:color="auto" w:sz="0" w:space="0"/>
                <w:between w:val="none" w:color="auto" w:sz="0" w:space="0"/>
              </w:pBdr>
              <w:ind w:right="-1"/>
              <w:rPr>
                <w:sz w:val="28"/>
                <w:szCs w:val="28"/>
              </w:rPr>
            </w:pPr>
          </w:p>
        </w:tc>
      </w:tr>
    </w:tbl>
    <w:p w14:paraId="2C650C09">
      <w:pPr>
        <w:widowControl w:val="0"/>
        <w:ind w:right="-1"/>
        <w:rPr>
          <w:sz w:val="28"/>
          <w:szCs w:val="28"/>
          <w:lang w:val="en-GB"/>
        </w:rPr>
      </w:pPr>
      <w:r>
        <w:rPr>
          <w:sz w:val="28"/>
          <w:szCs w:val="28"/>
          <w:lang w:val="en-GB"/>
        </w:rPr>
        <w:br w:type="textWrapping"/>
      </w:r>
    </w:p>
    <w:p w14:paraId="3B8B7842">
      <w:pPr>
        <w:widowControl w:val="0"/>
        <w:ind w:right="-1"/>
        <w:rPr>
          <w:sz w:val="28"/>
          <w:szCs w:val="28"/>
          <w:lang w:val="en-GB"/>
        </w:rPr>
      </w:pPr>
    </w:p>
    <w:p w14:paraId="70913E49">
      <w:pPr>
        <w:widowControl w:val="0"/>
        <w:ind w:right="-1"/>
        <w:rPr>
          <w:sz w:val="28"/>
          <w:szCs w:val="28"/>
          <w:lang w:val="en-GB"/>
        </w:rPr>
      </w:pPr>
    </w:p>
    <w:p w14:paraId="0F0F6D36">
      <w:pPr>
        <w:widowControl w:val="0"/>
        <w:ind w:right="-1"/>
        <w:rPr>
          <w:sz w:val="28"/>
          <w:szCs w:val="28"/>
          <w:lang w:val="en-GB"/>
        </w:rPr>
      </w:pPr>
    </w:p>
    <w:p w14:paraId="5DDD594D">
      <w:pPr>
        <w:widowControl w:val="0"/>
        <w:ind w:right="-1"/>
        <w:rPr>
          <w:sz w:val="28"/>
          <w:szCs w:val="28"/>
          <w:lang w:val="en-GB"/>
        </w:rPr>
      </w:pPr>
      <w:r>
        <w:rPr>
          <w:sz w:val="28"/>
          <w:szCs w:val="28"/>
          <w:lang w:val="en-GB"/>
        </w:rPr>
        <w:br w:type="textWrapping"/>
      </w:r>
      <w:r>
        <w:rPr>
          <w:sz w:val="28"/>
          <w:szCs w:val="28"/>
          <w:lang w:val="en-GB"/>
        </w:rPr>
        <w:br w:type="textWrapping"/>
      </w:r>
    </w:p>
    <w:p w14:paraId="0FB7D104">
      <w:pPr>
        <w:widowControl w:val="0"/>
        <w:ind w:right="-1"/>
        <w:rPr>
          <w:sz w:val="28"/>
          <w:szCs w:val="28"/>
          <w:lang w:val="en-GB"/>
        </w:rPr>
      </w:pPr>
    </w:p>
    <w:p w14:paraId="19DA4B77">
      <w:pPr>
        <w:widowControl w:val="0"/>
        <w:ind w:right="-1"/>
        <w:rPr>
          <w:sz w:val="28"/>
          <w:szCs w:val="28"/>
          <w:lang w:val="en-GB"/>
        </w:rPr>
      </w:pPr>
    </w:p>
    <w:p w14:paraId="668DD2DE">
      <w:pPr>
        <w:widowControl w:val="0"/>
        <w:ind w:right="-1"/>
        <w:rPr>
          <w:sz w:val="28"/>
          <w:szCs w:val="28"/>
          <w:lang w:val="en-GB"/>
        </w:rPr>
      </w:pPr>
    </w:p>
    <w:p w14:paraId="69DF8927">
      <w:pPr>
        <w:widowControl w:val="0"/>
        <w:ind w:right="-1"/>
        <w:jc w:val="center"/>
        <w:rPr>
          <w:sz w:val="28"/>
          <w:szCs w:val="28"/>
          <w:lang w:val="en-GB"/>
        </w:rPr>
      </w:pPr>
      <w:r>
        <w:rPr>
          <w:sz w:val="28"/>
          <w:szCs w:val="28"/>
          <w:lang w:val="en-GB"/>
        </w:rPr>
        <w:t>IAPM  2025</w:t>
      </w:r>
    </w:p>
    <w:p w14:paraId="6AC89A50">
      <w:pPr>
        <w:widowControl w:val="0"/>
        <w:ind w:right="-1"/>
        <w:rPr>
          <w:sz w:val="28"/>
          <w:szCs w:val="28"/>
          <w:lang w:val="en-GB"/>
        </w:rPr>
      </w:pPr>
    </w:p>
    <w:p w14:paraId="2CD4DC29">
      <w:pPr>
        <w:widowControl w:val="0"/>
        <w:ind w:right="-1"/>
        <w:jc w:val="both"/>
        <w:rPr>
          <w:sz w:val="28"/>
          <w:szCs w:val="28"/>
          <w:lang w:val="en-GB"/>
        </w:rPr>
      </w:pPr>
    </w:p>
    <w:p w14:paraId="7D0ED65A">
      <w:pPr>
        <w:widowControl w:val="0"/>
        <w:ind w:right="-1"/>
        <w:jc w:val="both"/>
        <w:rPr>
          <w:sz w:val="28"/>
          <w:szCs w:val="28"/>
          <w:lang w:val="en-GB"/>
        </w:rPr>
      </w:pPr>
    </w:p>
    <w:p w14:paraId="3D422325">
      <w:pPr>
        <w:widowControl w:val="0"/>
        <w:ind w:right="-1"/>
        <w:jc w:val="both"/>
        <w:rPr>
          <w:sz w:val="28"/>
          <w:szCs w:val="28"/>
          <w:lang w:val="en-GB"/>
        </w:rPr>
      </w:pPr>
    </w:p>
    <w:p w14:paraId="02C23AB3">
      <w:pPr>
        <w:widowControl w:val="0"/>
        <w:ind w:right="-1"/>
        <w:jc w:val="center"/>
        <w:rPr>
          <w:bCs/>
          <w:sz w:val="28"/>
          <w:szCs w:val="28"/>
          <w:lang w:val="en-GB"/>
        </w:rPr>
      </w:pPr>
      <w:r>
        <w:rPr>
          <w:b/>
          <w:sz w:val="28"/>
          <w:szCs w:val="28"/>
          <w:lang w:val="en-GB"/>
        </w:rPr>
        <w:t>General information about the academic discipline</w:t>
      </w:r>
    </w:p>
    <w:tbl>
      <w:tblPr>
        <w:tblStyle w:val="7"/>
        <w:tblpPr w:leftFromText="180" w:rightFromText="180" w:vertAnchor="text" w:tblpX="91" w:tblpY="293"/>
        <w:tblOverlap w:val="never"/>
        <w:tblW w:w="4802" w:type="pct"/>
        <w:tblInd w:w="0" w:type="dxa"/>
        <w:tblLayout w:type="fixed"/>
        <w:tblCellMar>
          <w:top w:w="0" w:type="dxa"/>
          <w:left w:w="108" w:type="dxa"/>
          <w:bottom w:w="0" w:type="dxa"/>
          <w:right w:w="108" w:type="dxa"/>
        </w:tblCellMar>
      </w:tblPr>
      <w:tblGrid>
        <w:gridCol w:w="4503"/>
        <w:gridCol w:w="4961"/>
      </w:tblGrid>
      <w:tr w14:paraId="50D86823">
        <w:tblPrEx>
          <w:tblCellMar>
            <w:top w:w="0" w:type="dxa"/>
            <w:left w:w="108" w:type="dxa"/>
            <w:bottom w:w="0" w:type="dxa"/>
            <w:right w:w="108" w:type="dxa"/>
          </w:tblCellMar>
        </w:tblPrEx>
        <w:trPr>
          <w:trHeight w:val="290" w:hRule="atLeast"/>
        </w:trPr>
        <w:tc>
          <w:tcPr>
            <w:tcW w:w="4503" w:type="dxa"/>
            <w:tcBorders>
              <w:top w:val="single" w:color="000000" w:sz="4" w:space="0"/>
              <w:left w:val="single" w:color="000000" w:sz="4" w:space="0"/>
              <w:bottom w:val="single" w:color="000000" w:sz="4" w:space="0"/>
              <w:right w:val="single" w:color="000000" w:sz="4" w:space="0"/>
            </w:tcBorders>
          </w:tcPr>
          <w:p w14:paraId="1DE5419D">
            <w:pPr>
              <w:widowControl w:val="0"/>
              <w:ind w:right="-1"/>
              <w:rPr>
                <w:bCs/>
                <w:sz w:val="28"/>
                <w:szCs w:val="28"/>
                <w:lang w:val="en-GB"/>
              </w:rPr>
            </w:pPr>
            <w:r>
              <w:rPr>
                <w:sz w:val="28"/>
                <w:szCs w:val="28"/>
                <w:lang w:val="en-GB"/>
              </w:rPr>
              <w:t>Name of the academic discipline</w:t>
            </w:r>
          </w:p>
        </w:tc>
        <w:tc>
          <w:tcPr>
            <w:tcW w:w="4961" w:type="dxa"/>
            <w:tcBorders>
              <w:top w:val="single" w:color="000000" w:sz="4" w:space="0"/>
              <w:left w:val="single" w:color="000000" w:sz="4" w:space="0"/>
              <w:bottom w:val="single" w:color="000000" w:sz="4" w:space="0"/>
              <w:right w:val="single" w:color="000000" w:sz="4" w:space="0"/>
            </w:tcBorders>
          </w:tcPr>
          <w:p w14:paraId="298AE74E">
            <w:pPr>
              <w:widowControl w:val="0"/>
              <w:ind w:right="-1"/>
              <w:rPr>
                <w:sz w:val="28"/>
                <w:szCs w:val="28"/>
                <w:lang w:val="en-GB"/>
              </w:rPr>
            </w:pPr>
            <w:r>
              <w:rPr>
                <w:bCs/>
                <w:sz w:val="28"/>
                <w:szCs w:val="28"/>
                <w:lang w:val="en-GB"/>
              </w:rPr>
              <w:t>Fundamentals of entrepreneurial activity</w:t>
            </w:r>
          </w:p>
        </w:tc>
      </w:tr>
      <w:tr w14:paraId="782B2A32">
        <w:tblPrEx>
          <w:tblCellMar>
            <w:top w:w="0" w:type="dxa"/>
            <w:left w:w="108" w:type="dxa"/>
            <w:bottom w:w="0" w:type="dxa"/>
            <w:right w:w="108" w:type="dxa"/>
          </w:tblCellMar>
        </w:tblPrEx>
        <w:trPr>
          <w:trHeight w:val="289" w:hRule="atLeast"/>
        </w:trPr>
        <w:tc>
          <w:tcPr>
            <w:tcW w:w="4503" w:type="dxa"/>
            <w:tcBorders>
              <w:top w:val="single" w:color="000000" w:sz="4" w:space="0"/>
              <w:left w:val="single" w:color="000000" w:sz="4" w:space="0"/>
              <w:bottom w:val="single" w:color="000000" w:sz="4" w:space="0"/>
              <w:right w:val="single" w:color="000000" w:sz="4" w:space="0"/>
            </w:tcBorders>
          </w:tcPr>
          <w:p w14:paraId="15ADF70B">
            <w:pPr>
              <w:widowControl w:val="0"/>
              <w:ind w:right="-1"/>
              <w:rPr>
                <w:bCs/>
                <w:sz w:val="28"/>
                <w:szCs w:val="28"/>
                <w:lang w:val="en-GB"/>
              </w:rPr>
            </w:pPr>
            <w:r>
              <w:rPr>
                <w:sz w:val="28"/>
                <w:szCs w:val="28"/>
                <w:lang w:val="en-GB"/>
              </w:rPr>
              <w:t xml:space="preserve">Code and name of the </w:t>
            </w:r>
            <w:r>
              <w:rPr>
                <w:b/>
                <w:bCs/>
                <w:i/>
                <w:sz w:val="28"/>
                <w:szCs w:val="28"/>
                <w:lang w:val="en-GB"/>
              </w:rPr>
              <w:t xml:space="preserve"> </w:t>
            </w:r>
            <w:r>
              <w:rPr>
                <w:iCs/>
                <w:sz w:val="28"/>
                <w:szCs w:val="28"/>
                <w:lang w:val="en-GB"/>
              </w:rPr>
              <w:t>s</w:t>
            </w:r>
            <w:r>
              <w:rPr>
                <w:sz w:val="28"/>
                <w:szCs w:val="28"/>
                <w:lang w:val="en-GB"/>
              </w:rPr>
              <w:t>pecialty</w:t>
            </w:r>
          </w:p>
        </w:tc>
        <w:tc>
          <w:tcPr>
            <w:tcW w:w="4961" w:type="dxa"/>
            <w:tcBorders>
              <w:top w:val="single" w:color="000000" w:sz="4" w:space="0"/>
              <w:left w:val="single" w:color="000000" w:sz="4" w:space="0"/>
              <w:bottom w:val="single" w:color="000000" w:sz="4" w:space="0"/>
              <w:right w:val="single" w:color="000000" w:sz="4" w:space="0"/>
            </w:tcBorders>
          </w:tcPr>
          <w:p w14:paraId="7801CD3A">
            <w:pPr>
              <w:widowControl w:val="0"/>
              <w:ind w:right="-1"/>
              <w:rPr>
                <w:sz w:val="28"/>
                <w:szCs w:val="28"/>
                <w:lang w:val="en-GB"/>
              </w:rPr>
            </w:pPr>
            <w:r>
              <w:rPr>
                <w:bCs/>
                <w:sz w:val="28"/>
                <w:szCs w:val="28"/>
                <w:lang w:val="en-GB"/>
              </w:rPr>
              <w:t>D3 Management</w:t>
            </w:r>
          </w:p>
        </w:tc>
      </w:tr>
      <w:tr w14:paraId="6101226A">
        <w:tblPrEx>
          <w:tblCellMar>
            <w:top w:w="0" w:type="dxa"/>
            <w:left w:w="108" w:type="dxa"/>
            <w:bottom w:w="0" w:type="dxa"/>
            <w:right w:w="108" w:type="dxa"/>
          </w:tblCellMar>
        </w:tblPrEx>
        <w:trPr>
          <w:trHeight w:val="372" w:hRule="atLeast"/>
        </w:trPr>
        <w:tc>
          <w:tcPr>
            <w:tcW w:w="4503" w:type="dxa"/>
            <w:tcBorders>
              <w:top w:val="single" w:color="000000" w:sz="4" w:space="0"/>
              <w:left w:val="single" w:color="000000" w:sz="4" w:space="0"/>
              <w:bottom w:val="single" w:color="000000" w:sz="4" w:space="0"/>
              <w:right w:val="single" w:color="000000" w:sz="4" w:space="0"/>
            </w:tcBorders>
          </w:tcPr>
          <w:p w14:paraId="4F2F6F9C">
            <w:pPr>
              <w:widowControl w:val="0"/>
              <w:ind w:right="-1"/>
              <w:rPr>
                <w:bCs/>
                <w:sz w:val="28"/>
                <w:szCs w:val="28"/>
                <w:lang w:val="en-GB"/>
              </w:rPr>
            </w:pPr>
            <w:r>
              <w:rPr>
                <w:sz w:val="28"/>
                <w:szCs w:val="28"/>
                <w:lang w:val="en-GB"/>
              </w:rPr>
              <w:t xml:space="preserve">Level of higher education </w:t>
            </w:r>
          </w:p>
        </w:tc>
        <w:tc>
          <w:tcPr>
            <w:tcW w:w="4961" w:type="dxa"/>
            <w:tcBorders>
              <w:top w:val="single" w:color="000000" w:sz="4" w:space="0"/>
              <w:left w:val="single" w:color="000000" w:sz="4" w:space="0"/>
              <w:bottom w:val="single" w:color="000000" w:sz="4" w:space="0"/>
              <w:right w:val="single" w:color="000000" w:sz="4" w:space="0"/>
            </w:tcBorders>
          </w:tcPr>
          <w:p w14:paraId="07E7C1C4">
            <w:pPr>
              <w:widowControl w:val="0"/>
              <w:ind w:right="-1"/>
              <w:rPr>
                <w:sz w:val="28"/>
                <w:szCs w:val="28"/>
                <w:lang w:val="en-GB"/>
              </w:rPr>
            </w:pPr>
            <w:r>
              <w:rPr>
                <w:bCs/>
                <w:sz w:val="28"/>
                <w:szCs w:val="28"/>
                <w:lang w:val="en-GB"/>
              </w:rPr>
              <w:t xml:space="preserve">First (bachelor's) level </w:t>
            </w:r>
          </w:p>
        </w:tc>
      </w:tr>
      <w:tr w14:paraId="5519A61C">
        <w:tblPrEx>
          <w:tblCellMar>
            <w:top w:w="0" w:type="dxa"/>
            <w:left w:w="108" w:type="dxa"/>
            <w:bottom w:w="0" w:type="dxa"/>
            <w:right w:w="108" w:type="dxa"/>
          </w:tblCellMar>
        </w:tblPrEx>
        <w:trPr>
          <w:trHeight w:val="386" w:hRule="atLeast"/>
        </w:trPr>
        <w:tc>
          <w:tcPr>
            <w:tcW w:w="4503" w:type="dxa"/>
            <w:tcBorders>
              <w:top w:val="single" w:color="000000" w:sz="4" w:space="0"/>
              <w:left w:val="single" w:color="000000" w:sz="4" w:space="0"/>
              <w:bottom w:val="single" w:color="000000" w:sz="4" w:space="0"/>
              <w:right w:val="single" w:color="000000" w:sz="4" w:space="0"/>
            </w:tcBorders>
          </w:tcPr>
          <w:p w14:paraId="5BF99689">
            <w:pPr>
              <w:widowControl w:val="0"/>
              <w:ind w:right="-1"/>
              <w:rPr>
                <w:bCs/>
                <w:sz w:val="28"/>
                <w:szCs w:val="28"/>
                <w:lang w:val="en-GB"/>
              </w:rPr>
            </w:pPr>
            <w:r>
              <w:rPr>
                <w:sz w:val="28"/>
                <w:szCs w:val="28"/>
                <w:lang w:val="en-GB"/>
              </w:rPr>
              <w:t xml:space="preserve">Discipline  status </w:t>
            </w:r>
          </w:p>
        </w:tc>
        <w:tc>
          <w:tcPr>
            <w:tcW w:w="4961" w:type="dxa"/>
            <w:tcBorders>
              <w:top w:val="single" w:color="000000" w:sz="4" w:space="0"/>
              <w:left w:val="single" w:color="000000" w:sz="4" w:space="0"/>
              <w:bottom w:val="single" w:color="000000" w:sz="4" w:space="0"/>
              <w:right w:val="single" w:color="000000" w:sz="4" w:space="0"/>
            </w:tcBorders>
          </w:tcPr>
          <w:p w14:paraId="1A193BD9">
            <w:pPr>
              <w:widowControl w:val="0"/>
              <w:ind w:right="-1"/>
              <w:rPr>
                <w:sz w:val="28"/>
                <w:szCs w:val="28"/>
                <w:lang w:val="en-GB"/>
              </w:rPr>
            </w:pPr>
            <w:r>
              <w:rPr>
                <w:bCs/>
                <w:iCs/>
                <w:sz w:val="28"/>
                <w:szCs w:val="28"/>
                <w:lang w:val="en-GB"/>
              </w:rPr>
              <w:t>Compulsory</w:t>
            </w:r>
          </w:p>
        </w:tc>
      </w:tr>
      <w:tr w14:paraId="02066C70">
        <w:tblPrEx>
          <w:tblCellMar>
            <w:top w:w="0" w:type="dxa"/>
            <w:left w:w="108" w:type="dxa"/>
            <w:bottom w:w="0" w:type="dxa"/>
            <w:right w:w="108" w:type="dxa"/>
          </w:tblCellMar>
        </w:tblPrEx>
        <w:trPr>
          <w:trHeight w:val="1189" w:hRule="atLeast"/>
        </w:trPr>
        <w:tc>
          <w:tcPr>
            <w:tcW w:w="4503" w:type="dxa"/>
            <w:tcBorders>
              <w:top w:val="single" w:color="000000" w:sz="4" w:space="0"/>
              <w:left w:val="single" w:color="000000" w:sz="4" w:space="0"/>
              <w:bottom w:val="single" w:color="000000" w:sz="4" w:space="0"/>
              <w:right w:val="single" w:color="000000" w:sz="4" w:space="0"/>
            </w:tcBorders>
          </w:tcPr>
          <w:p w14:paraId="4F08F939">
            <w:pPr>
              <w:widowControl w:val="0"/>
              <w:ind w:right="-1"/>
              <w:rPr>
                <w:bCs/>
                <w:sz w:val="28"/>
                <w:szCs w:val="28"/>
                <w:lang w:val="en-GB"/>
              </w:rPr>
            </w:pPr>
            <w:r>
              <w:rPr>
                <w:sz w:val="28"/>
                <w:szCs w:val="28"/>
                <w:lang w:val="en-GB"/>
              </w:rPr>
              <w:t>Number of credits and hours</w:t>
            </w:r>
          </w:p>
        </w:tc>
        <w:tc>
          <w:tcPr>
            <w:tcW w:w="4961" w:type="dxa"/>
            <w:tcBorders>
              <w:top w:val="single" w:color="000000" w:sz="4" w:space="0"/>
              <w:left w:val="single" w:color="000000" w:sz="4" w:space="0"/>
              <w:bottom w:val="single" w:color="000000" w:sz="4" w:space="0"/>
              <w:right w:val="single" w:color="000000" w:sz="4" w:space="0"/>
            </w:tcBorders>
          </w:tcPr>
          <w:p w14:paraId="12089EA7">
            <w:pPr>
              <w:widowControl w:val="0"/>
              <w:ind w:right="-1"/>
              <w:rPr>
                <w:sz w:val="28"/>
                <w:szCs w:val="28"/>
                <w:lang w:val="en-GB"/>
              </w:rPr>
            </w:pPr>
            <w:r>
              <w:rPr>
                <w:sz w:val="28"/>
                <w:szCs w:val="28"/>
                <w:lang w:val="en-GB"/>
              </w:rPr>
              <w:t>4 credits/120 hours</w:t>
            </w:r>
          </w:p>
          <w:p w14:paraId="6FBB34E5">
            <w:pPr>
              <w:widowControl w:val="0"/>
              <w:tabs>
                <w:tab w:val="left" w:pos="8931"/>
                <w:tab w:val="left" w:pos="9356"/>
              </w:tabs>
              <w:ind w:right="-1"/>
              <w:rPr>
                <w:sz w:val="28"/>
                <w:szCs w:val="28"/>
                <w:lang w:val="en-GB"/>
              </w:rPr>
            </w:pPr>
            <w:r>
              <w:rPr>
                <w:sz w:val="28"/>
                <w:szCs w:val="28"/>
                <w:lang w:val="en-GB"/>
              </w:rPr>
              <w:t>Lectures: 30 hours</w:t>
            </w:r>
          </w:p>
          <w:p w14:paraId="7BE93949">
            <w:pPr>
              <w:widowControl w:val="0"/>
              <w:tabs>
                <w:tab w:val="left" w:pos="8931"/>
                <w:tab w:val="left" w:pos="9356"/>
              </w:tabs>
              <w:ind w:right="-1"/>
              <w:rPr>
                <w:sz w:val="28"/>
                <w:szCs w:val="28"/>
                <w:lang w:val="en-GB"/>
              </w:rPr>
            </w:pPr>
            <w:r>
              <w:rPr>
                <w:sz w:val="28"/>
                <w:szCs w:val="28"/>
                <w:lang w:val="en-GB"/>
              </w:rPr>
              <w:t>Seminar classes</w:t>
            </w:r>
            <w:r>
              <w:rPr>
                <w:bCs/>
                <w:sz w:val="28"/>
                <w:szCs w:val="28"/>
                <w:lang w:val="en-GB"/>
              </w:rPr>
              <w:t>:</w:t>
            </w:r>
            <w:r>
              <w:rPr>
                <w:sz w:val="28"/>
                <w:szCs w:val="28"/>
                <w:lang w:val="en-GB"/>
              </w:rPr>
              <w:t xml:space="preserve"> 18 hours</w:t>
            </w:r>
          </w:p>
          <w:p w14:paraId="3D47AEB7">
            <w:pPr>
              <w:widowControl w:val="0"/>
              <w:tabs>
                <w:tab w:val="left" w:pos="8931"/>
                <w:tab w:val="left" w:pos="9356"/>
              </w:tabs>
              <w:ind w:right="-1"/>
              <w:rPr>
                <w:sz w:val="28"/>
                <w:szCs w:val="28"/>
                <w:lang w:val="en-GB"/>
              </w:rPr>
            </w:pPr>
            <w:r>
              <w:rPr>
                <w:sz w:val="28"/>
                <w:szCs w:val="28"/>
                <w:lang w:val="en-GB"/>
              </w:rPr>
              <w:t>Independent work by students: 72 hours</w:t>
            </w:r>
          </w:p>
        </w:tc>
      </w:tr>
      <w:tr w14:paraId="05D16539">
        <w:tblPrEx>
          <w:tblCellMar>
            <w:top w:w="0" w:type="dxa"/>
            <w:left w:w="108" w:type="dxa"/>
            <w:bottom w:w="0" w:type="dxa"/>
            <w:right w:w="108" w:type="dxa"/>
          </w:tblCellMar>
        </w:tblPrEx>
        <w:trPr>
          <w:trHeight w:val="393" w:hRule="atLeast"/>
        </w:trPr>
        <w:tc>
          <w:tcPr>
            <w:tcW w:w="4503" w:type="dxa"/>
            <w:tcBorders>
              <w:top w:val="single" w:color="000000" w:sz="4" w:space="0"/>
              <w:left w:val="single" w:color="000000" w:sz="4" w:space="0"/>
              <w:bottom w:val="single" w:color="000000" w:sz="4" w:space="0"/>
              <w:right w:val="single" w:color="000000" w:sz="4" w:space="0"/>
            </w:tcBorders>
          </w:tcPr>
          <w:p w14:paraId="14D61391">
            <w:pPr>
              <w:widowControl w:val="0"/>
              <w:ind w:right="-1"/>
              <w:rPr>
                <w:bCs/>
                <w:sz w:val="28"/>
                <w:szCs w:val="28"/>
                <w:lang w:val="en-GB"/>
              </w:rPr>
            </w:pPr>
            <w:r>
              <w:rPr>
                <w:sz w:val="28"/>
                <w:szCs w:val="28"/>
                <w:lang w:val="en-GB"/>
              </w:rPr>
              <w:t>Terms of study of the discipline</w:t>
            </w:r>
          </w:p>
        </w:tc>
        <w:tc>
          <w:tcPr>
            <w:tcW w:w="4961" w:type="dxa"/>
            <w:tcBorders>
              <w:top w:val="single" w:color="000000" w:sz="4" w:space="0"/>
              <w:left w:val="single" w:color="000000" w:sz="4" w:space="0"/>
              <w:bottom w:val="single" w:color="000000" w:sz="4" w:space="0"/>
              <w:right w:val="single" w:color="000000" w:sz="4" w:space="0"/>
            </w:tcBorders>
          </w:tcPr>
          <w:p w14:paraId="3F930270">
            <w:pPr>
              <w:widowControl w:val="0"/>
              <w:ind w:right="-1"/>
              <w:rPr>
                <w:sz w:val="28"/>
                <w:szCs w:val="28"/>
                <w:lang w:val="en-GB"/>
              </w:rPr>
            </w:pPr>
            <w:r>
              <w:rPr>
                <w:bCs/>
                <w:sz w:val="28"/>
                <w:szCs w:val="28"/>
                <w:lang w:val="en-GB"/>
              </w:rPr>
              <w:t>6 semester</w:t>
            </w:r>
          </w:p>
        </w:tc>
      </w:tr>
      <w:tr w14:paraId="1966D9C3">
        <w:tblPrEx>
          <w:tblCellMar>
            <w:top w:w="0" w:type="dxa"/>
            <w:left w:w="108" w:type="dxa"/>
            <w:bottom w:w="0" w:type="dxa"/>
            <w:right w:w="108" w:type="dxa"/>
          </w:tblCellMar>
        </w:tblPrEx>
        <w:trPr>
          <w:trHeight w:val="376" w:hRule="atLeast"/>
        </w:trPr>
        <w:tc>
          <w:tcPr>
            <w:tcW w:w="4503" w:type="dxa"/>
            <w:tcBorders>
              <w:top w:val="single" w:color="000000" w:sz="4" w:space="0"/>
              <w:left w:val="single" w:color="000000" w:sz="4" w:space="0"/>
              <w:bottom w:val="single" w:color="000000" w:sz="4" w:space="0"/>
              <w:right w:val="single" w:color="000000" w:sz="4" w:space="0"/>
            </w:tcBorders>
          </w:tcPr>
          <w:p w14:paraId="2A3DB13C">
            <w:pPr>
              <w:widowControl w:val="0"/>
              <w:ind w:right="-1"/>
              <w:rPr>
                <w:bCs/>
                <w:sz w:val="28"/>
                <w:szCs w:val="28"/>
                <w:lang w:val="en-GB"/>
              </w:rPr>
            </w:pPr>
            <w:r>
              <w:rPr>
                <w:sz w:val="28"/>
                <w:szCs w:val="28"/>
                <w:lang w:val="en-GB"/>
              </w:rPr>
              <w:t>Language of instruction</w:t>
            </w:r>
          </w:p>
        </w:tc>
        <w:tc>
          <w:tcPr>
            <w:tcW w:w="4961" w:type="dxa"/>
            <w:tcBorders>
              <w:top w:val="single" w:color="000000" w:sz="4" w:space="0"/>
              <w:left w:val="single" w:color="000000" w:sz="4" w:space="0"/>
              <w:bottom w:val="single" w:color="000000" w:sz="4" w:space="0"/>
              <w:right w:val="single" w:color="000000" w:sz="4" w:space="0"/>
            </w:tcBorders>
          </w:tcPr>
          <w:p w14:paraId="1C26D930">
            <w:pPr>
              <w:widowControl w:val="0"/>
              <w:ind w:right="-1"/>
              <w:rPr>
                <w:sz w:val="28"/>
                <w:szCs w:val="28"/>
                <w:lang w:val="en-GB"/>
              </w:rPr>
            </w:pPr>
            <w:r>
              <w:rPr>
                <w:bCs/>
                <w:sz w:val="28"/>
                <w:szCs w:val="28"/>
                <w:lang w:val="en-GB"/>
              </w:rPr>
              <w:t>Ukrainian</w:t>
            </w:r>
          </w:p>
        </w:tc>
      </w:tr>
      <w:tr w14:paraId="43FCD359">
        <w:tblPrEx>
          <w:tblCellMar>
            <w:top w:w="0" w:type="dxa"/>
            <w:left w:w="108" w:type="dxa"/>
            <w:bottom w:w="0" w:type="dxa"/>
            <w:right w:w="108" w:type="dxa"/>
          </w:tblCellMar>
        </w:tblPrEx>
        <w:trPr>
          <w:trHeight w:val="335" w:hRule="atLeast"/>
        </w:trPr>
        <w:tc>
          <w:tcPr>
            <w:tcW w:w="4503" w:type="dxa"/>
            <w:tcBorders>
              <w:top w:val="single" w:color="000000" w:sz="4" w:space="0"/>
              <w:left w:val="single" w:color="000000" w:sz="4" w:space="0"/>
              <w:bottom w:val="single" w:color="000000" w:sz="4" w:space="0"/>
              <w:right w:val="single" w:color="000000" w:sz="4" w:space="0"/>
            </w:tcBorders>
          </w:tcPr>
          <w:p w14:paraId="737D6582">
            <w:pPr>
              <w:widowControl w:val="0"/>
              <w:ind w:right="-1"/>
              <w:rPr>
                <w:bCs/>
                <w:sz w:val="28"/>
                <w:szCs w:val="28"/>
                <w:lang w:val="en-GB"/>
              </w:rPr>
            </w:pPr>
            <w:r>
              <w:rPr>
                <w:sz w:val="28"/>
                <w:szCs w:val="28"/>
                <w:lang w:val="en-GB"/>
              </w:rPr>
              <w:t xml:space="preserve">Final control type </w:t>
            </w:r>
          </w:p>
        </w:tc>
        <w:tc>
          <w:tcPr>
            <w:tcW w:w="4961" w:type="dxa"/>
            <w:tcBorders>
              <w:top w:val="single" w:color="000000" w:sz="4" w:space="0"/>
              <w:left w:val="single" w:color="000000" w:sz="4" w:space="0"/>
              <w:bottom w:val="single" w:color="000000" w:sz="4" w:space="0"/>
              <w:right w:val="single" w:color="000000" w:sz="4" w:space="0"/>
            </w:tcBorders>
          </w:tcPr>
          <w:p w14:paraId="793A1321">
            <w:pPr>
              <w:widowControl w:val="0"/>
              <w:ind w:right="-1"/>
              <w:rPr>
                <w:sz w:val="28"/>
                <w:szCs w:val="28"/>
                <w:lang w:val="en-GB"/>
              </w:rPr>
            </w:pPr>
            <w:r>
              <w:rPr>
                <w:sz w:val="28"/>
                <w:szCs w:val="28"/>
                <w:lang w:val="en-GB"/>
              </w:rPr>
              <w:t>Exam</w:t>
            </w:r>
          </w:p>
        </w:tc>
      </w:tr>
    </w:tbl>
    <w:p w14:paraId="320F0820">
      <w:pPr>
        <w:widowControl w:val="0"/>
        <w:ind w:right="-1"/>
        <w:jc w:val="center"/>
        <w:rPr>
          <w:b/>
          <w:sz w:val="28"/>
          <w:szCs w:val="28"/>
          <w:highlight w:val="cyan"/>
          <w:lang w:val="en-GB"/>
        </w:rPr>
      </w:pPr>
    </w:p>
    <w:p w14:paraId="46181B36">
      <w:pPr>
        <w:pStyle w:val="56"/>
        <w:jc w:val="center"/>
        <w:rPr>
          <w:rFonts w:ascii="Times New Roman" w:hAnsi="Times New Roman"/>
          <w:b/>
          <w:bCs/>
          <w:sz w:val="28"/>
          <w:szCs w:val="28"/>
        </w:rPr>
      </w:pPr>
      <w:r>
        <w:rPr>
          <w:rFonts w:ascii="Times New Roman" w:hAnsi="Times New Roman"/>
          <w:b/>
          <w:bCs/>
          <w:sz w:val="28"/>
          <w:szCs w:val="28"/>
        </w:rPr>
        <w:t>General information about the instructor. Contact information.</w:t>
      </w:r>
    </w:p>
    <w:p w14:paraId="25D8C122">
      <w:pPr>
        <w:pStyle w:val="56"/>
        <w:rPr>
          <w:rFonts w:ascii="Times New Roman" w:hAnsi="Times New Roman"/>
          <w:sz w:val="28"/>
          <w:szCs w:val="28"/>
        </w:rPr>
      </w:pPr>
    </w:p>
    <w:tbl>
      <w:tblPr>
        <w:tblStyle w:val="7"/>
        <w:tblW w:w="9498" w:type="dxa"/>
        <w:tblInd w:w="120" w:type="dxa"/>
        <w:tblLayout w:type="autofit"/>
        <w:tblCellMar>
          <w:top w:w="15" w:type="dxa"/>
          <w:left w:w="15" w:type="dxa"/>
          <w:bottom w:w="15" w:type="dxa"/>
          <w:right w:w="15" w:type="dxa"/>
        </w:tblCellMar>
      </w:tblPr>
      <w:tblGrid>
        <w:gridCol w:w="4536"/>
        <w:gridCol w:w="4962"/>
      </w:tblGrid>
      <w:tr w14:paraId="23E237B6">
        <w:tblPrEx>
          <w:tblCellMar>
            <w:top w:w="15" w:type="dxa"/>
            <w:left w:w="15" w:type="dxa"/>
            <w:bottom w:w="15" w:type="dxa"/>
            <w:right w:w="15" w:type="dxa"/>
          </w:tblCellMar>
        </w:tblPrEx>
        <w:trPr>
          <w:trHeight w:val="222" w:hRule="atLeast"/>
        </w:trPr>
        <w:tc>
          <w:tcPr>
            <w:tcW w:w="4536"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14:paraId="0775F904">
            <w:pPr>
              <w:pStyle w:val="56"/>
              <w:rPr>
                <w:rFonts w:ascii="Times New Roman" w:hAnsi="Times New Roman"/>
                <w:sz w:val="28"/>
                <w:szCs w:val="28"/>
              </w:rPr>
            </w:pPr>
            <w:r>
              <w:rPr>
                <w:rFonts w:ascii="Times New Roman" w:hAnsi="Times New Roman"/>
                <w:sz w:val="28"/>
                <w:szCs w:val="28"/>
              </w:rPr>
              <w:t>Full name of the instructor</w:t>
            </w:r>
          </w:p>
        </w:tc>
        <w:tc>
          <w:tcPr>
            <w:tcW w:w="4962"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14:paraId="53DEC2C1">
            <w:pPr>
              <w:pStyle w:val="56"/>
              <w:rPr>
                <w:rFonts w:ascii="Times New Roman" w:hAnsi="Times New Roman"/>
                <w:sz w:val="28"/>
                <w:szCs w:val="28"/>
              </w:rPr>
            </w:pPr>
          </w:p>
        </w:tc>
      </w:tr>
      <w:tr w14:paraId="06E0A511">
        <w:tblPrEx>
          <w:tblCellMar>
            <w:top w:w="15" w:type="dxa"/>
            <w:left w:w="15" w:type="dxa"/>
            <w:bottom w:w="15" w:type="dxa"/>
            <w:right w:w="15" w:type="dxa"/>
          </w:tblCellMar>
        </w:tblPrEx>
        <w:trPr>
          <w:trHeight w:val="80" w:hRule="atLeast"/>
        </w:trPr>
        <w:tc>
          <w:tcPr>
            <w:tcW w:w="4536"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14:paraId="3880138A">
            <w:pPr>
              <w:pStyle w:val="56"/>
              <w:rPr>
                <w:rFonts w:ascii="Times New Roman" w:hAnsi="Times New Roman"/>
                <w:sz w:val="28"/>
                <w:szCs w:val="28"/>
              </w:rPr>
            </w:pPr>
            <w:r>
              <w:rPr>
                <w:rFonts w:ascii="Times New Roman" w:hAnsi="Times New Roman"/>
                <w:sz w:val="28"/>
                <w:szCs w:val="28"/>
              </w:rPr>
              <w:t>Academic degree</w:t>
            </w:r>
          </w:p>
        </w:tc>
        <w:tc>
          <w:tcPr>
            <w:tcW w:w="4962"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14:paraId="247A677B">
            <w:pPr>
              <w:pStyle w:val="56"/>
              <w:rPr>
                <w:rFonts w:ascii="Times New Roman" w:hAnsi="Times New Roman"/>
                <w:sz w:val="28"/>
                <w:szCs w:val="28"/>
              </w:rPr>
            </w:pPr>
          </w:p>
        </w:tc>
      </w:tr>
      <w:tr w14:paraId="47BAF615">
        <w:tblPrEx>
          <w:tblCellMar>
            <w:top w:w="15" w:type="dxa"/>
            <w:left w:w="15" w:type="dxa"/>
            <w:bottom w:w="15" w:type="dxa"/>
            <w:right w:w="15" w:type="dxa"/>
          </w:tblCellMar>
        </w:tblPrEx>
        <w:trPr>
          <w:trHeight w:val="199" w:hRule="atLeast"/>
        </w:trPr>
        <w:tc>
          <w:tcPr>
            <w:tcW w:w="4536"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14:paraId="7329264F">
            <w:pPr>
              <w:pStyle w:val="56"/>
              <w:rPr>
                <w:rFonts w:ascii="Times New Roman" w:hAnsi="Times New Roman"/>
                <w:sz w:val="28"/>
                <w:szCs w:val="28"/>
              </w:rPr>
            </w:pPr>
            <w:r>
              <w:rPr>
                <w:rFonts w:ascii="Times New Roman" w:hAnsi="Times New Roman"/>
                <w:sz w:val="28"/>
                <w:szCs w:val="28"/>
              </w:rPr>
              <w:t>Position</w:t>
            </w:r>
          </w:p>
        </w:tc>
        <w:tc>
          <w:tcPr>
            <w:tcW w:w="4962"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14:paraId="0CAF9A31">
            <w:pPr>
              <w:pStyle w:val="56"/>
              <w:rPr>
                <w:rFonts w:ascii="Times New Roman" w:hAnsi="Times New Roman"/>
                <w:sz w:val="28"/>
                <w:szCs w:val="28"/>
              </w:rPr>
            </w:pPr>
          </w:p>
        </w:tc>
      </w:tr>
      <w:tr w14:paraId="2B9A9286">
        <w:tblPrEx>
          <w:tblCellMar>
            <w:top w:w="15" w:type="dxa"/>
            <w:left w:w="15" w:type="dxa"/>
            <w:bottom w:w="15" w:type="dxa"/>
            <w:right w:w="15" w:type="dxa"/>
          </w:tblCellMar>
        </w:tblPrEx>
        <w:trPr>
          <w:trHeight w:val="369" w:hRule="atLeast"/>
        </w:trPr>
        <w:tc>
          <w:tcPr>
            <w:tcW w:w="4536"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14:paraId="6A7F6AE1">
            <w:pPr>
              <w:pStyle w:val="56"/>
              <w:rPr>
                <w:rFonts w:ascii="Times New Roman" w:hAnsi="Times New Roman"/>
                <w:sz w:val="28"/>
                <w:szCs w:val="28"/>
              </w:rPr>
            </w:pPr>
            <w:r>
              <w:rPr>
                <w:rFonts w:ascii="Times New Roman" w:hAnsi="Times New Roman"/>
                <w:sz w:val="28"/>
                <w:szCs w:val="28"/>
              </w:rPr>
              <w:t>Areas of scientific research</w:t>
            </w:r>
          </w:p>
        </w:tc>
        <w:tc>
          <w:tcPr>
            <w:tcW w:w="4962"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14:paraId="35341F1E">
            <w:pPr>
              <w:pStyle w:val="56"/>
              <w:rPr>
                <w:rFonts w:ascii="Times New Roman" w:hAnsi="Times New Roman"/>
                <w:sz w:val="28"/>
                <w:szCs w:val="28"/>
              </w:rPr>
            </w:pPr>
          </w:p>
        </w:tc>
      </w:tr>
      <w:tr w14:paraId="1CFA655B">
        <w:tblPrEx>
          <w:tblCellMar>
            <w:top w:w="15" w:type="dxa"/>
            <w:left w:w="15" w:type="dxa"/>
            <w:bottom w:w="15" w:type="dxa"/>
            <w:right w:w="15" w:type="dxa"/>
          </w:tblCellMar>
        </w:tblPrEx>
        <w:trPr>
          <w:trHeight w:val="231" w:hRule="atLeast"/>
        </w:trPr>
        <w:tc>
          <w:tcPr>
            <w:tcW w:w="4536"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14:paraId="63F3E33D">
            <w:pPr>
              <w:pStyle w:val="56"/>
              <w:rPr>
                <w:rFonts w:ascii="Times New Roman" w:hAnsi="Times New Roman"/>
                <w:sz w:val="28"/>
                <w:szCs w:val="28"/>
              </w:rPr>
            </w:pPr>
            <w:r>
              <w:rPr>
                <w:rFonts w:ascii="Times New Roman" w:hAnsi="Times New Roman"/>
                <w:sz w:val="28"/>
                <w:szCs w:val="28"/>
              </w:rPr>
              <w:t>Links to the registers of identifiers for scientists</w:t>
            </w:r>
          </w:p>
        </w:tc>
        <w:tc>
          <w:tcPr>
            <w:tcW w:w="4962"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14:paraId="1E617CB8">
            <w:pPr>
              <w:pStyle w:val="56"/>
              <w:rPr>
                <w:rFonts w:ascii="Times New Roman" w:hAnsi="Times New Roman"/>
                <w:sz w:val="28"/>
                <w:szCs w:val="28"/>
              </w:rPr>
            </w:pPr>
          </w:p>
        </w:tc>
      </w:tr>
      <w:tr w14:paraId="5430C97C">
        <w:tblPrEx>
          <w:tblCellMar>
            <w:top w:w="15" w:type="dxa"/>
            <w:left w:w="15" w:type="dxa"/>
            <w:bottom w:w="15" w:type="dxa"/>
            <w:right w:w="15" w:type="dxa"/>
          </w:tblCellMar>
        </w:tblPrEx>
        <w:trPr>
          <w:trHeight w:val="231" w:hRule="atLeast"/>
        </w:trPr>
        <w:tc>
          <w:tcPr>
            <w:tcW w:w="9498" w:type="dxa"/>
            <w:gridSpan w:val="2"/>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14:paraId="4D0F049D">
            <w:pPr>
              <w:pStyle w:val="56"/>
              <w:rPr>
                <w:rFonts w:ascii="Times New Roman" w:hAnsi="Times New Roman"/>
                <w:sz w:val="28"/>
                <w:szCs w:val="28"/>
              </w:rPr>
            </w:pPr>
            <w:r>
              <w:rPr>
                <w:rFonts w:ascii="Times New Roman" w:hAnsi="Times New Roman"/>
                <w:sz w:val="28"/>
                <w:szCs w:val="28"/>
              </w:rPr>
              <w:t>Contact information</w:t>
            </w:r>
          </w:p>
        </w:tc>
      </w:tr>
      <w:tr w14:paraId="20C0C53B">
        <w:tblPrEx>
          <w:tblCellMar>
            <w:top w:w="15" w:type="dxa"/>
            <w:left w:w="15" w:type="dxa"/>
            <w:bottom w:w="15" w:type="dxa"/>
            <w:right w:w="15" w:type="dxa"/>
          </w:tblCellMar>
        </w:tblPrEx>
        <w:trPr>
          <w:trHeight w:val="231" w:hRule="atLeast"/>
        </w:trPr>
        <w:tc>
          <w:tcPr>
            <w:tcW w:w="4536"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14:paraId="6EAE7AB4">
            <w:pPr>
              <w:pStyle w:val="56"/>
              <w:rPr>
                <w:rFonts w:ascii="Times New Roman" w:hAnsi="Times New Roman"/>
                <w:sz w:val="28"/>
                <w:szCs w:val="28"/>
              </w:rPr>
            </w:pPr>
            <w:r>
              <w:rPr>
                <w:rFonts w:ascii="Times New Roman" w:hAnsi="Times New Roman"/>
                <w:sz w:val="28"/>
                <w:szCs w:val="28"/>
              </w:rPr>
              <w:t>E-mail:</w:t>
            </w:r>
          </w:p>
        </w:tc>
        <w:tc>
          <w:tcPr>
            <w:tcW w:w="4962"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14:paraId="36A6315E">
            <w:pPr>
              <w:pStyle w:val="56"/>
              <w:rPr>
                <w:rFonts w:ascii="Times New Roman" w:hAnsi="Times New Roman"/>
                <w:sz w:val="28"/>
                <w:szCs w:val="28"/>
              </w:rPr>
            </w:pPr>
          </w:p>
        </w:tc>
      </w:tr>
      <w:tr w14:paraId="18E80AD9">
        <w:tblPrEx>
          <w:tblCellMar>
            <w:top w:w="15" w:type="dxa"/>
            <w:left w:w="15" w:type="dxa"/>
            <w:bottom w:w="15" w:type="dxa"/>
            <w:right w:w="15" w:type="dxa"/>
          </w:tblCellMar>
        </w:tblPrEx>
        <w:trPr>
          <w:trHeight w:val="231" w:hRule="atLeast"/>
        </w:trPr>
        <w:tc>
          <w:tcPr>
            <w:tcW w:w="4536"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14:paraId="1E5B395C">
            <w:pPr>
              <w:pStyle w:val="56"/>
              <w:rPr>
                <w:rFonts w:ascii="Times New Roman" w:hAnsi="Times New Roman"/>
                <w:sz w:val="28"/>
                <w:szCs w:val="28"/>
              </w:rPr>
            </w:pPr>
            <w:r>
              <w:rPr>
                <w:rFonts w:ascii="Times New Roman" w:hAnsi="Times New Roman"/>
                <w:sz w:val="28"/>
                <w:szCs w:val="28"/>
              </w:rPr>
              <w:t>Department phone</w:t>
            </w:r>
          </w:p>
        </w:tc>
        <w:tc>
          <w:tcPr>
            <w:tcW w:w="4962"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14:paraId="2CB4387E">
            <w:pPr>
              <w:pStyle w:val="56"/>
              <w:rPr>
                <w:rFonts w:ascii="Times New Roman" w:hAnsi="Times New Roman"/>
                <w:sz w:val="28"/>
                <w:szCs w:val="28"/>
              </w:rPr>
            </w:pPr>
          </w:p>
        </w:tc>
      </w:tr>
      <w:tr w14:paraId="268E9DF2">
        <w:tblPrEx>
          <w:tblCellMar>
            <w:top w:w="15" w:type="dxa"/>
            <w:left w:w="15" w:type="dxa"/>
            <w:bottom w:w="15" w:type="dxa"/>
            <w:right w:w="15" w:type="dxa"/>
          </w:tblCellMar>
        </w:tblPrEx>
        <w:trPr>
          <w:trHeight w:val="231" w:hRule="atLeast"/>
        </w:trPr>
        <w:tc>
          <w:tcPr>
            <w:tcW w:w="4536"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14:paraId="18F4EED7">
            <w:pPr>
              <w:pStyle w:val="56"/>
              <w:rPr>
                <w:rFonts w:ascii="Times New Roman" w:hAnsi="Times New Roman"/>
                <w:sz w:val="28"/>
                <w:szCs w:val="28"/>
              </w:rPr>
            </w:pPr>
            <w:r>
              <w:rPr>
                <w:rFonts w:ascii="Times New Roman" w:hAnsi="Times New Roman"/>
                <w:sz w:val="28"/>
                <w:szCs w:val="28"/>
              </w:rPr>
              <w:t>Instructor’s portfolio on the website</w:t>
            </w:r>
          </w:p>
        </w:tc>
        <w:tc>
          <w:tcPr>
            <w:tcW w:w="4962"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14:paraId="077B76F1">
            <w:pPr>
              <w:pStyle w:val="56"/>
              <w:rPr>
                <w:rFonts w:ascii="Times New Roman" w:hAnsi="Times New Roman"/>
                <w:sz w:val="28"/>
                <w:szCs w:val="28"/>
              </w:rPr>
            </w:pPr>
          </w:p>
        </w:tc>
      </w:tr>
    </w:tbl>
    <w:p w14:paraId="484E0EB3">
      <w:pPr>
        <w:widowControl w:val="0"/>
        <w:ind w:right="-1"/>
        <w:jc w:val="both"/>
        <w:rPr>
          <w:b/>
          <w:sz w:val="28"/>
          <w:szCs w:val="28"/>
          <w:lang w:val="en-GB"/>
        </w:rPr>
      </w:pPr>
    </w:p>
    <w:p w14:paraId="27C53E32">
      <w:pPr>
        <w:widowControl w:val="0"/>
        <w:ind w:right="-1"/>
        <w:jc w:val="both"/>
        <w:rPr>
          <w:b/>
          <w:sz w:val="28"/>
          <w:szCs w:val="28"/>
          <w:lang w:val="en-GB"/>
        </w:rPr>
      </w:pPr>
      <w:r>
        <w:rPr>
          <w:b/>
          <w:bCs/>
          <w:sz w:val="28"/>
          <w:szCs w:val="28"/>
          <w:lang w:val="en-GB" w:eastAsia="en-US"/>
        </w:rPr>
        <w:t>Discipline’s description</w:t>
      </w:r>
      <w:r>
        <w:rPr>
          <w:b/>
          <w:sz w:val="28"/>
          <w:szCs w:val="28"/>
          <w:lang w:val="en-GB"/>
        </w:rPr>
        <w:t xml:space="preserve">. </w:t>
      </w:r>
    </w:p>
    <w:p w14:paraId="7EDA5D8F">
      <w:pPr>
        <w:widowControl w:val="0"/>
        <w:ind w:right="-1"/>
        <w:jc w:val="both"/>
        <w:rPr>
          <w:b/>
          <w:bCs/>
          <w:sz w:val="28"/>
          <w:szCs w:val="28"/>
          <w:lang w:val="en-GB" w:eastAsia="uk-UA"/>
        </w:rPr>
      </w:pPr>
      <w:r>
        <w:rPr>
          <w:sz w:val="28"/>
          <w:szCs w:val="28"/>
          <w:lang w:val="en-GB"/>
        </w:rPr>
        <w:t>The subject of the academic discipline “</w:t>
      </w:r>
      <w:r>
        <w:rPr>
          <w:bCs/>
          <w:sz w:val="28"/>
          <w:szCs w:val="28"/>
          <w:lang w:val="en-GB"/>
        </w:rPr>
        <w:t>Fundamentals of entrepreneurial activity”</w:t>
      </w:r>
      <w:r>
        <w:rPr>
          <w:sz w:val="28"/>
          <w:szCs w:val="28"/>
          <w:lang w:val="en-GB"/>
        </w:rPr>
        <w:t xml:space="preserve"> is the study of methods and approaches to the organisation of entrepreneurial activity and factors influencing its development. One of the main directions of market transformations in the Ukrainian economy is the development of entrepreneurship. As a special form of business activity, entrepreneurship is an important source for the formation of a new, effective, socially oriented economic structure in society. The course covers the general foundations of the emergence and development of entrepreneurship, its content and role in economic development, the resolution of social issues, and the implementation of private initiative.</w:t>
      </w:r>
    </w:p>
    <w:p w14:paraId="1A443F2C">
      <w:pPr>
        <w:widowControl w:val="0"/>
        <w:ind w:right="-1"/>
        <w:jc w:val="both"/>
        <w:rPr>
          <w:sz w:val="28"/>
          <w:szCs w:val="28"/>
          <w:lang w:val="en-GB"/>
        </w:rPr>
      </w:pPr>
      <w:r>
        <w:rPr>
          <w:b/>
          <w:bCs/>
          <w:sz w:val="28"/>
          <w:szCs w:val="28"/>
          <w:lang w:val="en-GB" w:eastAsia="en-US"/>
        </w:rPr>
        <w:t>The subject of the discipline</w:t>
      </w:r>
      <w:r>
        <w:rPr>
          <w:sz w:val="28"/>
          <w:szCs w:val="28"/>
          <w:lang w:val="en-GB" w:eastAsia="en-US"/>
        </w:rPr>
        <w:t xml:space="preserve"> </w:t>
      </w:r>
      <w:r>
        <w:rPr>
          <w:sz w:val="28"/>
          <w:szCs w:val="28"/>
          <w:lang w:val="en-GB"/>
        </w:rPr>
        <w:t>is a system of theoretical knowledge and practical principles concerning the essence, content, principles, organisational forms and mechanisms of entrepreneurial activity in a market economy. It covers the study of entrepreneurship as an economic phenomenon and social institution, the peculiarities of its functioning in various sectors of the economy, the formation of an entrepreneurial environment, the choice of the optimal organisational and legal form of business, as well as the principles of planning, financing, accounting, risk management and responsibility in entrepreneurial activity. Particular attention is paid to the formation of entrepreneurial thinking, the development of business ideas, the preparation of business plans and ensuring the effective functioning of business entities, taking into account economic, legal and ethical requirements.</w:t>
      </w:r>
    </w:p>
    <w:p w14:paraId="30897FEA">
      <w:pPr>
        <w:widowControl w:val="0"/>
        <w:ind w:right="-1"/>
        <w:jc w:val="both"/>
        <w:rPr>
          <w:b/>
          <w:bCs/>
          <w:sz w:val="28"/>
          <w:szCs w:val="28"/>
          <w:lang w:val="en-GB"/>
        </w:rPr>
      </w:pPr>
    </w:p>
    <w:p w14:paraId="47383727">
      <w:pPr>
        <w:widowControl w:val="0"/>
        <w:ind w:right="-1"/>
        <w:jc w:val="both"/>
        <w:rPr>
          <w:sz w:val="28"/>
          <w:szCs w:val="28"/>
          <w:lang w:val="en-GB"/>
        </w:rPr>
      </w:pPr>
      <w:r>
        <w:rPr>
          <w:b/>
          <w:bCs/>
          <w:sz w:val="28"/>
          <w:szCs w:val="28"/>
          <w:lang w:val="en-GB" w:eastAsia="en-US"/>
        </w:rPr>
        <w:t xml:space="preserve">The aim of the </w:t>
      </w:r>
      <w:r>
        <w:rPr>
          <w:b/>
          <w:sz w:val="28"/>
          <w:szCs w:val="28"/>
          <w:lang w:val="en-GB" w:eastAsia="en-US"/>
        </w:rPr>
        <w:t>discipline</w:t>
      </w:r>
      <w:r>
        <w:rPr>
          <w:sz w:val="28"/>
          <w:szCs w:val="28"/>
          <w:lang w:val="en-GB" w:eastAsia="en-US"/>
        </w:rPr>
        <w:t xml:space="preserve"> </w:t>
      </w:r>
      <w:r>
        <w:rPr>
          <w:sz w:val="28"/>
          <w:szCs w:val="28"/>
          <w:lang w:val="en-GB"/>
        </w:rPr>
        <w:t>is to provide students with a systematic understanding of entrepreneurship as a special type of economic activity, to develop entrepreneurial thinking, initiative and the ability to make independent decisions in a market environment. The course is aimed at acquiring basic knowledge about the organisation, planning, management and legal support of entrepreneurial activity, as well as practical skills in developing business ideas, drawing up business plans, assessing risks and effectively managing entrepreneurial projects.</w:t>
      </w:r>
    </w:p>
    <w:p w14:paraId="329253B9">
      <w:pPr>
        <w:widowControl w:val="0"/>
        <w:ind w:right="-1"/>
        <w:rPr>
          <w:b/>
          <w:bCs/>
          <w:sz w:val="28"/>
          <w:szCs w:val="28"/>
          <w:lang w:val="en-GB"/>
        </w:rPr>
      </w:pPr>
    </w:p>
    <w:p w14:paraId="52A8A789">
      <w:pPr>
        <w:widowControl w:val="0"/>
        <w:ind w:right="-1"/>
        <w:rPr>
          <w:b/>
          <w:bCs/>
          <w:sz w:val="28"/>
          <w:szCs w:val="28"/>
          <w:lang w:val="en-GB"/>
        </w:rPr>
      </w:pPr>
      <w:r>
        <w:rPr>
          <w:b/>
          <w:bCs/>
          <w:sz w:val="28"/>
          <w:szCs w:val="28"/>
          <w:lang w:val="en-GB"/>
        </w:rPr>
        <w:t xml:space="preserve">The objectives of the discipline: </w:t>
      </w:r>
    </w:p>
    <w:p w14:paraId="2B3020D7">
      <w:pPr>
        <w:pStyle w:val="54"/>
        <w:widowControl w:val="0"/>
        <w:numPr>
          <w:ilvl w:val="0"/>
          <w:numId w:val="2"/>
        </w:numPr>
        <w:ind w:right="-1"/>
        <w:jc w:val="both"/>
        <w:rPr>
          <w:rFonts w:ascii="Times New Roman" w:hAnsi="Times New Roman"/>
          <w:sz w:val="28"/>
          <w:szCs w:val="28"/>
          <w:lang w:val="en-GB"/>
        </w:rPr>
      </w:pPr>
      <w:r>
        <w:rPr>
          <w:rFonts w:ascii="Times New Roman" w:hAnsi="Times New Roman"/>
          <w:sz w:val="28"/>
          <w:szCs w:val="28"/>
          <w:lang w:val="en-GB"/>
        </w:rPr>
        <w:t xml:space="preserve">Study the types and characteristics of entrepreneurial activity; </w:t>
      </w:r>
    </w:p>
    <w:p w14:paraId="7068AB6C">
      <w:pPr>
        <w:pStyle w:val="54"/>
        <w:widowControl w:val="0"/>
        <w:numPr>
          <w:ilvl w:val="0"/>
          <w:numId w:val="2"/>
        </w:numPr>
        <w:ind w:right="-1"/>
        <w:jc w:val="both"/>
        <w:rPr>
          <w:rFonts w:ascii="Times New Roman" w:hAnsi="Times New Roman"/>
          <w:sz w:val="28"/>
          <w:szCs w:val="28"/>
          <w:lang w:val="en-GB"/>
        </w:rPr>
      </w:pPr>
      <w:r>
        <w:rPr>
          <w:rFonts w:ascii="Times New Roman" w:hAnsi="Times New Roman"/>
          <w:sz w:val="28"/>
          <w:szCs w:val="28"/>
          <w:lang w:val="en-GB"/>
        </w:rPr>
        <w:t xml:space="preserve">Study the legal status of entrepreneurs based on the study of the legislative framework for entrepreneurial activity in Ukraine; </w:t>
      </w:r>
    </w:p>
    <w:p w14:paraId="7A854DD6">
      <w:pPr>
        <w:pStyle w:val="54"/>
        <w:widowControl w:val="0"/>
        <w:numPr>
          <w:ilvl w:val="0"/>
          <w:numId w:val="2"/>
        </w:numPr>
        <w:ind w:right="-1"/>
        <w:jc w:val="both"/>
        <w:rPr>
          <w:rFonts w:ascii="Times New Roman" w:hAnsi="Times New Roman"/>
          <w:sz w:val="28"/>
          <w:szCs w:val="28"/>
          <w:lang w:val="en-GB"/>
        </w:rPr>
      </w:pPr>
      <w:r>
        <w:rPr>
          <w:rFonts w:ascii="Times New Roman" w:hAnsi="Times New Roman"/>
          <w:sz w:val="28"/>
          <w:szCs w:val="28"/>
          <w:lang w:val="en-GB"/>
        </w:rPr>
        <w:t xml:space="preserve">Study the principles of organisation and economics of entrepreneurship; </w:t>
      </w:r>
    </w:p>
    <w:p w14:paraId="6707F178">
      <w:pPr>
        <w:pStyle w:val="54"/>
        <w:widowControl w:val="0"/>
        <w:numPr>
          <w:ilvl w:val="0"/>
          <w:numId w:val="2"/>
        </w:numPr>
        <w:ind w:right="-1"/>
        <w:jc w:val="both"/>
        <w:rPr>
          <w:rFonts w:ascii="Times New Roman" w:hAnsi="Times New Roman"/>
          <w:sz w:val="28"/>
          <w:szCs w:val="28"/>
          <w:lang w:val="en-GB"/>
        </w:rPr>
      </w:pPr>
      <w:r>
        <w:rPr>
          <w:rFonts w:ascii="Times New Roman" w:hAnsi="Times New Roman"/>
          <w:sz w:val="28"/>
          <w:szCs w:val="28"/>
          <w:lang w:val="en-GB"/>
        </w:rPr>
        <w:t xml:space="preserve">Conduct a comparative analysis of the organisational and legal forms of entrepreneurship; </w:t>
      </w:r>
    </w:p>
    <w:p w14:paraId="36C763A2">
      <w:pPr>
        <w:pStyle w:val="54"/>
        <w:widowControl w:val="0"/>
        <w:numPr>
          <w:ilvl w:val="0"/>
          <w:numId w:val="2"/>
        </w:numPr>
        <w:ind w:right="-1"/>
        <w:jc w:val="both"/>
        <w:rPr>
          <w:rFonts w:ascii="Times New Roman" w:hAnsi="Times New Roman"/>
          <w:sz w:val="28"/>
          <w:szCs w:val="28"/>
          <w:lang w:val="en-GB"/>
        </w:rPr>
      </w:pPr>
      <w:r>
        <w:rPr>
          <w:rFonts w:ascii="Times New Roman" w:hAnsi="Times New Roman"/>
          <w:sz w:val="28"/>
          <w:szCs w:val="28"/>
          <w:lang w:val="en-GB"/>
        </w:rPr>
        <w:t xml:space="preserve">Evaluate the basic principles of ethics and motivation in entrepreneurship; </w:t>
      </w:r>
    </w:p>
    <w:p w14:paraId="1A460BEE">
      <w:pPr>
        <w:pStyle w:val="54"/>
        <w:widowControl w:val="0"/>
        <w:numPr>
          <w:ilvl w:val="0"/>
          <w:numId w:val="2"/>
        </w:numPr>
        <w:ind w:right="-1"/>
        <w:jc w:val="both"/>
        <w:rPr>
          <w:rFonts w:ascii="Times New Roman" w:hAnsi="Times New Roman"/>
          <w:sz w:val="28"/>
          <w:szCs w:val="28"/>
          <w:lang w:val="en-GB"/>
        </w:rPr>
      </w:pPr>
      <w:r>
        <w:rPr>
          <w:rFonts w:ascii="Times New Roman" w:hAnsi="Times New Roman"/>
          <w:sz w:val="28"/>
          <w:szCs w:val="28"/>
          <w:lang w:val="en-GB"/>
        </w:rPr>
        <w:t>Familiarise with the policy of social responsibility of business.</w:t>
      </w:r>
    </w:p>
    <w:p w14:paraId="000FBCDD">
      <w:pPr>
        <w:widowControl w:val="0"/>
        <w:ind w:right="-1"/>
        <w:jc w:val="both"/>
        <w:rPr>
          <w:b/>
          <w:sz w:val="28"/>
          <w:szCs w:val="28"/>
          <w:lang w:val="en-GB"/>
        </w:rPr>
      </w:pPr>
      <w:r>
        <w:rPr>
          <w:b/>
          <w:sz w:val="28"/>
          <w:szCs w:val="28"/>
          <w:lang w:val="en-GB"/>
        </w:rPr>
        <w:t xml:space="preserve">Prerequisites for the discipline. </w:t>
      </w:r>
    </w:p>
    <w:p w14:paraId="373AE303">
      <w:pPr>
        <w:widowControl w:val="0"/>
        <w:ind w:right="-1"/>
        <w:jc w:val="both"/>
        <w:rPr>
          <w:sz w:val="28"/>
          <w:szCs w:val="28"/>
          <w:lang w:val="en-GB"/>
        </w:rPr>
      </w:pPr>
      <w:r>
        <w:rPr>
          <w:sz w:val="28"/>
          <w:szCs w:val="28"/>
          <w:lang w:val="en-GB"/>
        </w:rPr>
        <w:t>The study of the academic discipline “</w:t>
      </w:r>
      <w:r>
        <w:rPr>
          <w:bCs/>
          <w:sz w:val="28"/>
          <w:szCs w:val="28"/>
          <w:lang w:val="en-GB"/>
        </w:rPr>
        <w:t>Fundamentals of entrepreneurial activity”</w:t>
      </w:r>
      <w:r>
        <w:rPr>
          <w:sz w:val="28"/>
          <w:szCs w:val="28"/>
          <w:lang w:val="en-GB"/>
        </w:rPr>
        <w:t xml:space="preserve"> is based on the knowledge and skills acquired by students in the following disciplines: “Business Economics”, “Management”, </w:t>
      </w:r>
      <w:r>
        <w:rPr>
          <w:bCs/>
          <w:sz w:val="28"/>
          <w:szCs w:val="28"/>
          <w:lang w:val="en-GB"/>
        </w:rPr>
        <w:t>“Business Planning and Start-up Creation”, “HR Management”, “Accounting and Auditing”, “Digital Technologies in Management”.</w:t>
      </w:r>
    </w:p>
    <w:p w14:paraId="1E167CCF">
      <w:pPr>
        <w:widowControl w:val="0"/>
        <w:ind w:right="-1"/>
        <w:jc w:val="both"/>
        <w:rPr>
          <w:b/>
          <w:sz w:val="28"/>
          <w:szCs w:val="28"/>
          <w:lang w:val="en-GB"/>
        </w:rPr>
      </w:pPr>
    </w:p>
    <w:p w14:paraId="5FBEDDED">
      <w:pPr>
        <w:widowControl w:val="0"/>
        <w:ind w:right="-1"/>
        <w:jc w:val="both"/>
        <w:rPr>
          <w:b/>
          <w:sz w:val="28"/>
          <w:szCs w:val="28"/>
          <w:lang w:val="en-GB"/>
        </w:rPr>
      </w:pPr>
      <w:r>
        <w:rPr>
          <w:b/>
          <w:sz w:val="28"/>
          <w:szCs w:val="28"/>
          <w:lang w:val="en-GB"/>
        </w:rPr>
        <w:t xml:space="preserve">Post-requisites </w:t>
      </w:r>
      <w:r>
        <w:rPr>
          <w:b/>
          <w:bCs/>
          <w:sz w:val="28"/>
          <w:szCs w:val="28"/>
          <w:lang w:val="en-GB"/>
        </w:rPr>
        <w:t>for</w:t>
      </w:r>
      <w:r>
        <w:rPr>
          <w:b/>
          <w:sz w:val="28"/>
          <w:szCs w:val="28"/>
          <w:lang w:val="en-GB"/>
        </w:rPr>
        <w:t xml:space="preserve"> the discipline.  </w:t>
      </w:r>
    </w:p>
    <w:p w14:paraId="6923CA38">
      <w:pPr>
        <w:widowControl w:val="0"/>
        <w:ind w:right="-1"/>
        <w:jc w:val="both"/>
        <w:rPr>
          <w:bCs/>
          <w:i/>
          <w:iCs/>
          <w:sz w:val="28"/>
          <w:szCs w:val="28"/>
          <w:lang w:val="en-GB"/>
        </w:rPr>
      </w:pPr>
      <w:r>
        <w:rPr>
          <w:bCs/>
          <w:sz w:val="28"/>
          <w:szCs w:val="28"/>
          <w:lang w:val="en-GB"/>
        </w:rPr>
        <w:t>The knowledge and skills acquired by students in the process of studying the academic discipline “Fundamentals of entrepreneurial activity” contribute to the successful study by higher education students of a number of other academic disciplines aimed at developing professional knowledge and skills: “Fundamentals of business management”, “Operational management”, “Fundamentals of project management”, “Strategic enterprise management”, and others.</w:t>
      </w:r>
    </w:p>
    <w:p w14:paraId="4E3CD78E">
      <w:pPr>
        <w:widowControl w:val="0"/>
        <w:ind w:right="-1"/>
        <w:jc w:val="center"/>
        <w:rPr>
          <w:b/>
          <w:sz w:val="28"/>
          <w:szCs w:val="28"/>
          <w:lang w:val="en-GB"/>
        </w:rPr>
      </w:pPr>
      <w:r>
        <w:rPr>
          <w:b/>
          <w:sz w:val="28"/>
          <w:szCs w:val="28"/>
          <w:lang w:val="en-GB"/>
        </w:rPr>
        <w:t>Program competences</w:t>
      </w:r>
    </w:p>
    <w:p w14:paraId="1FBDBFF6">
      <w:pPr>
        <w:widowControl w:val="0"/>
        <w:ind w:right="-1"/>
        <w:jc w:val="center"/>
        <w:rPr>
          <w:b/>
          <w:i/>
          <w:iCs/>
          <w:sz w:val="28"/>
          <w:szCs w:val="28"/>
          <w:lang w:val="en-GB"/>
        </w:rPr>
      </w:pPr>
    </w:p>
    <w:tbl>
      <w:tblPr>
        <w:tblStyle w:val="7"/>
        <w:tblpPr w:leftFromText="180" w:rightFromText="180" w:vertAnchor="text" w:tblpX="153" w:tblpY="50"/>
        <w:tblOverlap w:val="never"/>
        <w:tblW w:w="4874" w:type="pct"/>
        <w:tblInd w:w="0" w:type="dxa"/>
        <w:tblLayout w:type="fixed"/>
        <w:tblCellMar>
          <w:top w:w="0" w:type="dxa"/>
          <w:left w:w="108" w:type="dxa"/>
          <w:bottom w:w="0" w:type="dxa"/>
          <w:right w:w="108" w:type="dxa"/>
        </w:tblCellMar>
      </w:tblPr>
      <w:tblGrid>
        <w:gridCol w:w="2235"/>
        <w:gridCol w:w="7371"/>
      </w:tblGrid>
      <w:tr w14:paraId="52AD147B">
        <w:tblPrEx>
          <w:tblCellMar>
            <w:top w:w="0" w:type="dxa"/>
            <w:left w:w="108" w:type="dxa"/>
            <w:bottom w:w="0" w:type="dxa"/>
            <w:right w:w="108" w:type="dxa"/>
          </w:tblCellMar>
        </w:tblPrEx>
        <w:trPr>
          <w:trHeight w:val="544" w:hRule="atLeast"/>
        </w:trPr>
        <w:tc>
          <w:tcPr>
            <w:tcW w:w="2235" w:type="dxa"/>
            <w:tcBorders>
              <w:top w:val="single" w:color="000000" w:sz="4" w:space="0"/>
              <w:left w:val="single" w:color="000000" w:sz="4" w:space="0"/>
              <w:bottom w:val="single" w:color="000000" w:sz="4" w:space="0"/>
              <w:right w:val="single" w:color="000000" w:sz="4" w:space="0"/>
            </w:tcBorders>
          </w:tcPr>
          <w:p w14:paraId="0F265049">
            <w:pPr>
              <w:widowControl w:val="0"/>
              <w:ind w:right="-1"/>
              <w:rPr>
                <w:spacing w:val="4"/>
                <w:sz w:val="28"/>
                <w:szCs w:val="28"/>
                <w:lang w:val="en-GB"/>
              </w:rPr>
            </w:pPr>
            <w:r>
              <w:rPr>
                <w:b/>
                <w:bCs/>
                <w:spacing w:val="4"/>
                <w:sz w:val="28"/>
                <w:szCs w:val="28"/>
                <w:lang w:val="en-GB"/>
              </w:rPr>
              <w:t>General competences</w:t>
            </w:r>
          </w:p>
        </w:tc>
        <w:tc>
          <w:tcPr>
            <w:tcW w:w="7371" w:type="dxa"/>
            <w:tcBorders>
              <w:top w:val="single" w:color="000000" w:sz="4" w:space="0"/>
              <w:left w:val="single" w:color="000000" w:sz="4" w:space="0"/>
              <w:bottom w:val="single" w:color="000000" w:sz="4" w:space="0"/>
              <w:right w:val="single" w:color="000000" w:sz="4" w:space="0"/>
            </w:tcBorders>
          </w:tcPr>
          <w:p w14:paraId="4BE2B0FF">
            <w:pPr>
              <w:widowControl w:val="0"/>
              <w:ind w:right="-1"/>
              <w:rPr>
                <w:spacing w:val="4"/>
                <w:sz w:val="28"/>
                <w:szCs w:val="28"/>
                <w:lang w:val="en-GB"/>
              </w:rPr>
            </w:pPr>
            <w:r>
              <w:rPr>
                <w:spacing w:val="4"/>
                <w:sz w:val="28"/>
                <w:szCs w:val="28"/>
                <w:lang w:val="en-GB"/>
              </w:rPr>
              <w:t xml:space="preserve">GC4. </w:t>
            </w:r>
            <w:r>
              <w:rPr>
                <w:rFonts w:eastAsia="Times New Roman"/>
                <w:color w:val="000000"/>
                <w:sz w:val="28"/>
                <w:szCs w:val="28"/>
                <w:lang w:val="en-GB"/>
              </w:rPr>
              <w:t>Ability to apply knowledge in practical situations.</w:t>
            </w:r>
          </w:p>
        </w:tc>
      </w:tr>
      <w:tr w14:paraId="4372C5F8">
        <w:tblPrEx>
          <w:tblCellMar>
            <w:top w:w="0" w:type="dxa"/>
            <w:left w:w="108" w:type="dxa"/>
            <w:bottom w:w="0" w:type="dxa"/>
            <w:right w:w="108" w:type="dxa"/>
          </w:tblCellMar>
        </w:tblPrEx>
        <w:trPr>
          <w:trHeight w:val="90" w:hRule="atLeast"/>
        </w:trPr>
        <w:tc>
          <w:tcPr>
            <w:tcW w:w="2235" w:type="dxa"/>
            <w:tcBorders>
              <w:top w:val="single" w:color="000000" w:sz="4" w:space="0"/>
              <w:left w:val="single" w:color="000000" w:sz="4" w:space="0"/>
              <w:bottom w:val="single" w:color="000000" w:sz="4" w:space="0"/>
              <w:right w:val="single" w:color="000000" w:sz="4" w:space="0"/>
            </w:tcBorders>
          </w:tcPr>
          <w:p w14:paraId="54F79776">
            <w:pPr>
              <w:widowControl w:val="0"/>
              <w:ind w:right="-1"/>
              <w:jc w:val="both"/>
              <w:rPr>
                <w:b/>
                <w:sz w:val="28"/>
                <w:szCs w:val="28"/>
                <w:lang w:val="en-GB"/>
              </w:rPr>
            </w:pPr>
            <w:r>
              <w:rPr>
                <w:b/>
                <w:sz w:val="28"/>
                <w:szCs w:val="28"/>
                <w:lang w:val="en-GB"/>
              </w:rPr>
              <w:t>Special competences</w:t>
            </w:r>
          </w:p>
        </w:tc>
        <w:tc>
          <w:tcPr>
            <w:tcW w:w="7371" w:type="dxa"/>
            <w:tcBorders>
              <w:top w:val="single" w:color="000000" w:sz="4" w:space="0"/>
              <w:left w:val="single" w:color="000000" w:sz="4" w:space="0"/>
              <w:bottom w:val="single" w:color="000000" w:sz="4" w:space="0"/>
              <w:right w:val="single" w:color="000000" w:sz="4" w:space="0"/>
            </w:tcBorders>
          </w:tcPr>
          <w:p w14:paraId="042D559A">
            <w:pPr>
              <w:widowControl w:val="0"/>
              <w:pBdr>
                <w:top w:val="none" w:color="auto" w:sz="0" w:space="0"/>
                <w:left w:val="none" w:color="auto" w:sz="0" w:space="0"/>
                <w:bottom w:val="none" w:color="auto" w:sz="0" w:space="0"/>
                <w:right w:val="none" w:color="auto" w:sz="0" w:space="0"/>
                <w:between w:val="none" w:color="auto" w:sz="0" w:space="0"/>
              </w:pBdr>
              <w:spacing w:before="2"/>
              <w:ind w:right="96"/>
              <w:jc w:val="both"/>
              <w:rPr>
                <w:rFonts w:eastAsia="Times New Roman"/>
                <w:color w:val="000000"/>
                <w:sz w:val="28"/>
                <w:szCs w:val="28"/>
                <w:lang w:val="en-GB"/>
              </w:rPr>
            </w:pPr>
            <w:r>
              <w:rPr>
                <w:spacing w:val="4"/>
                <w:sz w:val="28"/>
                <w:szCs w:val="28"/>
                <w:lang w:val="en-GB"/>
              </w:rPr>
              <w:t>SC</w:t>
            </w:r>
            <w:r>
              <w:rPr>
                <w:sz w:val="28"/>
                <w:szCs w:val="28"/>
                <w:lang w:val="en-GB"/>
              </w:rPr>
              <w:t xml:space="preserve">1. </w:t>
            </w:r>
            <w:r>
              <w:rPr>
                <w:rFonts w:eastAsia="Times New Roman"/>
                <w:color w:val="000000"/>
                <w:sz w:val="28"/>
                <w:szCs w:val="28"/>
                <w:lang w:val="en-GB"/>
              </w:rPr>
              <w:t>Ability to identify and describe the characteristics of an organization.</w:t>
            </w:r>
          </w:p>
          <w:p w14:paraId="73942B29">
            <w:pPr>
              <w:widowControl w:val="0"/>
              <w:ind w:right="-1"/>
              <w:jc w:val="both"/>
              <w:rPr>
                <w:rFonts w:eastAsia="Times New Roman"/>
                <w:color w:val="000000"/>
                <w:sz w:val="28"/>
                <w:szCs w:val="28"/>
                <w:lang w:val="en-GB"/>
              </w:rPr>
            </w:pPr>
            <w:r>
              <w:rPr>
                <w:rFonts w:eastAsia="Times New Roman"/>
                <w:color w:val="000000"/>
                <w:sz w:val="28"/>
                <w:szCs w:val="28"/>
                <w:lang w:val="en-GB"/>
              </w:rPr>
              <w:t>SC2. Ability to analyze the performance results of an organization and compare them with the influencing factors of the external and internal environment.</w:t>
            </w:r>
          </w:p>
          <w:p w14:paraId="60C367D2">
            <w:pPr>
              <w:widowControl w:val="0"/>
              <w:ind w:right="-1"/>
              <w:jc w:val="both"/>
              <w:rPr>
                <w:sz w:val="28"/>
                <w:szCs w:val="28"/>
                <w:lang w:val="en-GB"/>
              </w:rPr>
            </w:pPr>
            <w:r>
              <w:rPr>
                <w:spacing w:val="4"/>
                <w:sz w:val="28"/>
                <w:szCs w:val="28"/>
                <w:lang w:val="en-GB"/>
              </w:rPr>
              <w:t>SC</w:t>
            </w:r>
            <w:r>
              <w:rPr>
                <w:sz w:val="28"/>
                <w:szCs w:val="28"/>
                <w:lang w:val="en-GB"/>
              </w:rPr>
              <w:t xml:space="preserve">14. </w:t>
            </w:r>
            <w:r>
              <w:rPr>
                <w:rFonts w:eastAsia="Times New Roman"/>
                <w:color w:val="000000"/>
                <w:sz w:val="28"/>
                <w:szCs w:val="28"/>
                <w:lang w:val="en-GB"/>
              </w:rPr>
              <w:t>Understanding the principles of psychology and the ability to apply them in professional activities.</w:t>
            </w:r>
          </w:p>
        </w:tc>
      </w:tr>
      <w:tr w14:paraId="4567E2B2">
        <w:tblPrEx>
          <w:tblCellMar>
            <w:top w:w="0" w:type="dxa"/>
            <w:left w:w="108" w:type="dxa"/>
            <w:bottom w:w="0" w:type="dxa"/>
            <w:right w:w="108" w:type="dxa"/>
          </w:tblCellMar>
        </w:tblPrEx>
        <w:trPr>
          <w:trHeight w:val="90" w:hRule="atLeast"/>
        </w:trPr>
        <w:tc>
          <w:tcPr>
            <w:tcW w:w="2235" w:type="dxa"/>
            <w:tcBorders>
              <w:top w:val="single" w:color="000000" w:sz="4" w:space="0"/>
              <w:left w:val="single" w:color="000000" w:sz="4" w:space="0"/>
              <w:bottom w:val="single" w:color="000000" w:sz="4" w:space="0"/>
              <w:right w:val="single" w:color="000000" w:sz="4" w:space="0"/>
            </w:tcBorders>
          </w:tcPr>
          <w:p w14:paraId="25219D67">
            <w:pPr>
              <w:widowControl w:val="0"/>
              <w:ind w:right="-1"/>
              <w:jc w:val="both"/>
              <w:rPr>
                <w:i/>
                <w:iCs/>
                <w:sz w:val="28"/>
                <w:szCs w:val="28"/>
                <w:lang w:val="en-GB"/>
              </w:rPr>
            </w:pPr>
            <w:r>
              <w:rPr>
                <w:b/>
                <w:bCs/>
                <w:kern w:val="2"/>
                <w:sz w:val="28"/>
                <w:szCs w:val="28"/>
                <w:lang w:val="en-GB" w:eastAsia="uk-UA"/>
              </w:rPr>
              <w:t>Intended learning outcomes</w:t>
            </w:r>
          </w:p>
          <w:p w14:paraId="15A037E3">
            <w:pPr>
              <w:widowControl w:val="0"/>
              <w:ind w:right="-1"/>
              <w:jc w:val="both"/>
              <w:rPr>
                <w:sz w:val="28"/>
                <w:szCs w:val="28"/>
                <w:lang w:val="en-GB"/>
              </w:rPr>
            </w:pPr>
          </w:p>
        </w:tc>
        <w:tc>
          <w:tcPr>
            <w:tcW w:w="7371" w:type="dxa"/>
            <w:tcBorders>
              <w:top w:val="single" w:color="000000" w:sz="4" w:space="0"/>
              <w:left w:val="single" w:color="000000" w:sz="4" w:space="0"/>
              <w:bottom w:val="single" w:color="000000" w:sz="4" w:space="0"/>
              <w:right w:val="single" w:color="000000" w:sz="4" w:space="0"/>
            </w:tcBorders>
          </w:tcPr>
          <w:p w14:paraId="3E8CAD2C">
            <w:pPr>
              <w:widowControl w:val="0"/>
              <w:ind w:right="-1"/>
              <w:jc w:val="both"/>
              <w:rPr>
                <w:sz w:val="28"/>
                <w:szCs w:val="28"/>
                <w:lang w:val="en-GB"/>
              </w:rPr>
            </w:pPr>
            <w:r>
              <w:rPr>
                <w:sz w:val="28"/>
                <w:szCs w:val="28"/>
                <w:lang w:val="en-GB"/>
              </w:rPr>
              <w:t xml:space="preserve">ILO6. </w:t>
            </w:r>
            <w:r>
              <w:rPr>
                <w:rFonts w:eastAsia="Times New Roman"/>
                <w:color w:val="000000"/>
                <w:sz w:val="28"/>
                <w:szCs w:val="28"/>
                <w:lang w:val="en-GB"/>
              </w:rPr>
              <w:t>Demonstrate skills in searching for, collecting, and analyzing information, and calculating indicators to justify managerial decisions</w:t>
            </w:r>
            <w:r>
              <w:rPr>
                <w:sz w:val="28"/>
                <w:szCs w:val="28"/>
                <w:lang w:val="en-GB"/>
              </w:rPr>
              <w:t>.</w:t>
            </w:r>
          </w:p>
          <w:p w14:paraId="35DC432F">
            <w:pPr>
              <w:widowControl w:val="0"/>
              <w:ind w:right="-1"/>
              <w:jc w:val="both"/>
              <w:rPr>
                <w:sz w:val="28"/>
                <w:szCs w:val="28"/>
                <w:lang w:val="en-GB"/>
              </w:rPr>
            </w:pPr>
            <w:r>
              <w:rPr>
                <w:sz w:val="28"/>
                <w:szCs w:val="28"/>
                <w:lang w:val="en-GB"/>
              </w:rPr>
              <w:t xml:space="preserve">ILO12. </w:t>
            </w:r>
            <w:r>
              <w:rPr>
                <w:rFonts w:eastAsia="Times New Roman"/>
                <w:color w:val="000000"/>
                <w:sz w:val="28"/>
                <w:szCs w:val="28"/>
                <w:lang w:val="en-GB"/>
              </w:rPr>
              <w:t xml:space="preserve"> Evaluate the legal, social, and economic implications of an organization’s operations.</w:t>
            </w:r>
          </w:p>
          <w:p w14:paraId="5E0A1F84">
            <w:pPr>
              <w:widowControl w:val="0"/>
              <w:ind w:right="-1"/>
              <w:jc w:val="both"/>
              <w:rPr>
                <w:sz w:val="28"/>
                <w:szCs w:val="28"/>
                <w:lang w:val="en-GB"/>
              </w:rPr>
            </w:pPr>
            <w:r>
              <w:rPr>
                <w:sz w:val="28"/>
                <w:szCs w:val="28"/>
                <w:lang w:val="en-GB"/>
              </w:rPr>
              <w:t xml:space="preserve">ILO18. </w:t>
            </w:r>
            <w:r>
              <w:rPr>
                <w:rFonts w:eastAsia="Times New Roman"/>
                <w:color w:val="000000"/>
                <w:sz w:val="28"/>
                <w:szCs w:val="28"/>
                <w:lang w:val="en-GB"/>
              </w:rPr>
              <w:t>Demonstrate skills in analyzing the effectiveness of management of operational, marketing, foreign economic activity of the enterprise, justify the directions of its future development for the preparation and presentation of analytical reports.</w:t>
            </w:r>
          </w:p>
        </w:tc>
      </w:tr>
    </w:tbl>
    <w:p w14:paraId="3D70950A">
      <w:pPr>
        <w:widowControl w:val="0"/>
        <w:ind w:right="-1"/>
        <w:jc w:val="both"/>
        <w:rPr>
          <w:sz w:val="28"/>
          <w:szCs w:val="28"/>
          <w:highlight w:val="cyan"/>
          <w:lang w:val="en-GB"/>
        </w:rPr>
      </w:pPr>
    </w:p>
    <w:p w14:paraId="0A0F6651">
      <w:pPr>
        <w:widowControl w:val="0"/>
        <w:ind w:right="-1"/>
        <w:jc w:val="center"/>
        <w:rPr>
          <w:rStyle w:val="57"/>
          <w:b/>
          <w:bCs/>
          <w:sz w:val="28"/>
          <w:szCs w:val="28"/>
          <w:shd w:val="clear" w:color="auto" w:fill="FFFFFF"/>
          <w:lang w:val="en-GB"/>
        </w:rPr>
      </w:pPr>
      <w:r>
        <w:rPr>
          <w:rStyle w:val="57"/>
          <w:b/>
          <w:bCs/>
          <w:sz w:val="28"/>
          <w:szCs w:val="28"/>
          <w:shd w:val="clear" w:color="auto" w:fill="FFFFFF"/>
          <w:lang w:val="en-GB"/>
        </w:rPr>
        <w:t>Content of the academic discipline</w:t>
      </w:r>
    </w:p>
    <w:p w14:paraId="19ED7C4D">
      <w:pPr>
        <w:widowControl w:val="0"/>
        <w:ind w:right="-1"/>
        <w:jc w:val="center"/>
        <w:rPr>
          <w:rStyle w:val="57"/>
          <w:b/>
          <w:bCs/>
          <w:sz w:val="28"/>
          <w:szCs w:val="28"/>
          <w:shd w:val="clear" w:color="auto" w:fill="FFFFFF"/>
          <w:lang w:val="en-GB"/>
        </w:rPr>
      </w:pPr>
    </w:p>
    <w:tbl>
      <w:tblPr>
        <w:tblStyle w:val="7"/>
        <w:tblW w:w="9712" w:type="dxa"/>
        <w:tblInd w:w="-28" w:type="dxa"/>
        <w:tblLayout w:type="fixed"/>
        <w:tblCellMar>
          <w:top w:w="0" w:type="dxa"/>
          <w:left w:w="0" w:type="dxa"/>
          <w:bottom w:w="0" w:type="dxa"/>
          <w:right w:w="0" w:type="dxa"/>
        </w:tblCellMar>
      </w:tblPr>
      <w:tblGrid>
        <w:gridCol w:w="439"/>
        <w:gridCol w:w="3036"/>
        <w:gridCol w:w="567"/>
        <w:gridCol w:w="567"/>
        <w:gridCol w:w="709"/>
        <w:gridCol w:w="2693"/>
        <w:gridCol w:w="1701"/>
      </w:tblGrid>
      <w:tr w14:paraId="0704171B">
        <w:tblPrEx>
          <w:tblCellMar>
            <w:top w:w="0" w:type="dxa"/>
            <w:left w:w="0" w:type="dxa"/>
            <w:bottom w:w="0" w:type="dxa"/>
            <w:right w:w="0" w:type="dxa"/>
          </w:tblCellMar>
        </w:tblPrEx>
        <w:trPr>
          <w:trHeight w:val="315" w:hRule="atLeast"/>
        </w:trPr>
        <w:tc>
          <w:tcPr>
            <w:tcW w:w="439" w:type="dxa"/>
            <w:vMerge w:val="restart"/>
            <w:tcBorders>
              <w:top w:val="single" w:color="000000" w:sz="6" w:space="0"/>
              <w:left w:val="single" w:color="000000" w:sz="6" w:space="0"/>
              <w:bottom w:val="single" w:color="000000" w:sz="6" w:space="0"/>
              <w:right w:val="single" w:color="000000" w:sz="6" w:space="0"/>
            </w:tcBorders>
            <w:shd w:val="clear" w:color="auto" w:fill="FFFFFF"/>
            <w:tcMar>
              <w:top w:w="30" w:type="dxa"/>
              <w:left w:w="45" w:type="dxa"/>
              <w:bottom w:w="30" w:type="dxa"/>
              <w:right w:w="45" w:type="dxa"/>
            </w:tcMar>
            <w:vAlign w:val="center"/>
          </w:tcPr>
          <w:p w14:paraId="385871F1">
            <w:pPr>
              <w:widowControl w:val="0"/>
              <w:ind w:right="-1"/>
              <w:rPr>
                <w:sz w:val="28"/>
                <w:szCs w:val="28"/>
                <w:lang w:val="en-GB"/>
              </w:rPr>
            </w:pPr>
            <w:r>
              <w:rPr>
                <w:b/>
                <w:bCs/>
                <w:szCs w:val="28"/>
                <w:lang w:val="en-GB"/>
              </w:rPr>
              <w:t>№</w:t>
            </w:r>
          </w:p>
        </w:tc>
        <w:tc>
          <w:tcPr>
            <w:tcW w:w="3036" w:type="dxa"/>
            <w:vMerge w:val="restart"/>
            <w:tcBorders>
              <w:top w:val="single" w:color="000000" w:sz="6" w:space="0"/>
              <w:left w:val="single" w:color="CCCCCC" w:sz="6" w:space="0"/>
              <w:bottom w:val="single" w:color="000000" w:sz="6" w:space="0"/>
              <w:right w:val="single" w:color="000000" w:sz="6" w:space="0"/>
            </w:tcBorders>
            <w:shd w:val="clear" w:color="auto" w:fill="FFFFFF"/>
            <w:tcMar>
              <w:top w:w="30" w:type="dxa"/>
              <w:left w:w="45" w:type="dxa"/>
              <w:bottom w:w="30" w:type="dxa"/>
              <w:right w:w="45" w:type="dxa"/>
            </w:tcMar>
            <w:vAlign w:val="center"/>
          </w:tcPr>
          <w:p w14:paraId="3417EB5E">
            <w:pPr>
              <w:widowControl w:val="0"/>
              <w:ind w:right="109"/>
              <w:jc w:val="center"/>
              <w:rPr>
                <w:sz w:val="28"/>
                <w:szCs w:val="28"/>
                <w:lang w:val="en-GB"/>
              </w:rPr>
            </w:pPr>
            <w:r>
              <w:rPr>
                <w:b/>
                <w:bCs/>
                <w:szCs w:val="28"/>
                <w:lang w:val="en-GB"/>
              </w:rPr>
              <w:t>Topics</w:t>
            </w:r>
          </w:p>
        </w:tc>
        <w:tc>
          <w:tcPr>
            <w:tcW w:w="1843" w:type="dxa"/>
            <w:gridSpan w:val="3"/>
            <w:tcBorders>
              <w:top w:val="single" w:color="000000" w:sz="6" w:space="0"/>
              <w:left w:val="single" w:color="CCCCCC" w:sz="6" w:space="0"/>
              <w:bottom w:val="single" w:color="000000" w:sz="6" w:space="0"/>
              <w:right w:val="single" w:color="000000" w:sz="6" w:space="0"/>
            </w:tcBorders>
            <w:shd w:val="clear" w:color="auto" w:fill="FFFFFF"/>
            <w:tcMar>
              <w:top w:w="30" w:type="dxa"/>
              <w:left w:w="45" w:type="dxa"/>
              <w:bottom w:w="30" w:type="dxa"/>
              <w:right w:w="45" w:type="dxa"/>
            </w:tcMar>
            <w:vAlign w:val="center"/>
          </w:tcPr>
          <w:p w14:paraId="14AD38A9">
            <w:pPr>
              <w:widowControl w:val="0"/>
              <w:ind w:right="109"/>
              <w:jc w:val="center"/>
              <w:rPr>
                <w:b/>
                <w:sz w:val="28"/>
                <w:szCs w:val="28"/>
                <w:lang w:val="en-GB"/>
              </w:rPr>
            </w:pPr>
            <w:r>
              <w:rPr>
                <w:b/>
                <w:bCs/>
                <w:szCs w:val="28"/>
                <w:lang w:val="en-GB"/>
              </w:rPr>
              <w:t>Number of hours, of which:</w:t>
            </w:r>
          </w:p>
        </w:tc>
        <w:tc>
          <w:tcPr>
            <w:tcW w:w="4394" w:type="dxa"/>
            <w:gridSpan w:val="2"/>
            <w:tcBorders>
              <w:top w:val="single" w:color="000000" w:sz="6" w:space="0"/>
              <w:left w:val="single" w:color="CCCCCC" w:sz="6" w:space="0"/>
              <w:bottom w:val="single" w:color="000000" w:sz="6" w:space="0"/>
              <w:right w:val="single" w:color="000000" w:sz="6" w:space="0"/>
            </w:tcBorders>
            <w:tcMar>
              <w:top w:w="30" w:type="dxa"/>
              <w:left w:w="45" w:type="dxa"/>
              <w:bottom w:w="30" w:type="dxa"/>
              <w:right w:w="45" w:type="dxa"/>
            </w:tcMar>
            <w:vAlign w:val="center"/>
          </w:tcPr>
          <w:p w14:paraId="5463781F">
            <w:pPr>
              <w:suppressAutoHyphens w:val="0"/>
              <w:ind w:right="109"/>
              <w:jc w:val="center"/>
              <w:rPr>
                <w:b/>
                <w:sz w:val="28"/>
                <w:szCs w:val="28"/>
                <w:lang w:val="en-GB"/>
              </w:rPr>
            </w:pPr>
            <w:r>
              <w:rPr>
                <w:b/>
                <w:szCs w:val="28"/>
                <w:lang w:val="en-GB"/>
              </w:rPr>
              <w:t>Methods</w:t>
            </w:r>
          </w:p>
        </w:tc>
      </w:tr>
      <w:tr w14:paraId="7C718BFA">
        <w:tblPrEx>
          <w:tblCellMar>
            <w:top w:w="0" w:type="dxa"/>
            <w:left w:w="0" w:type="dxa"/>
            <w:bottom w:w="0" w:type="dxa"/>
            <w:right w:w="0" w:type="dxa"/>
          </w:tblCellMar>
        </w:tblPrEx>
        <w:trPr>
          <w:trHeight w:val="1576" w:hRule="atLeast"/>
        </w:trPr>
        <w:tc>
          <w:tcPr>
            <w:tcW w:w="439"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14:paraId="42F7121E">
            <w:pPr>
              <w:suppressAutoHyphens w:val="0"/>
              <w:ind w:right="-1"/>
              <w:rPr>
                <w:sz w:val="28"/>
                <w:szCs w:val="28"/>
                <w:lang w:val="en-GB"/>
              </w:rPr>
            </w:pPr>
          </w:p>
        </w:tc>
        <w:tc>
          <w:tcPr>
            <w:tcW w:w="3036" w:type="dxa"/>
            <w:vMerge w:val="continue"/>
            <w:tcBorders>
              <w:top w:val="single" w:color="000000" w:sz="6" w:space="0"/>
              <w:left w:val="single" w:color="CCCCCC" w:sz="6" w:space="0"/>
              <w:bottom w:val="single" w:color="000000" w:sz="6" w:space="0"/>
              <w:right w:val="single" w:color="000000" w:sz="6" w:space="0"/>
            </w:tcBorders>
            <w:shd w:val="clear" w:color="auto" w:fill="auto"/>
            <w:vAlign w:val="center"/>
          </w:tcPr>
          <w:p w14:paraId="1B7EE24A">
            <w:pPr>
              <w:suppressAutoHyphens w:val="0"/>
              <w:ind w:right="109"/>
              <w:rPr>
                <w:sz w:val="28"/>
                <w:szCs w:val="28"/>
                <w:lang w:val="en-GB"/>
              </w:rPr>
            </w:pPr>
          </w:p>
        </w:tc>
        <w:tc>
          <w:tcPr>
            <w:tcW w:w="567" w:type="dxa"/>
            <w:tcBorders>
              <w:top w:val="single" w:color="CCCCCC" w:sz="6" w:space="0"/>
              <w:left w:val="single" w:color="CCCCCC" w:sz="6" w:space="0"/>
              <w:bottom w:val="single" w:color="000000" w:sz="6" w:space="0"/>
              <w:right w:val="single" w:color="000000" w:sz="6" w:space="0"/>
            </w:tcBorders>
            <w:shd w:val="clear" w:color="auto" w:fill="FFFFFF"/>
            <w:tcMar>
              <w:top w:w="30" w:type="dxa"/>
              <w:left w:w="45" w:type="dxa"/>
              <w:bottom w:w="30" w:type="dxa"/>
              <w:right w:w="45" w:type="dxa"/>
            </w:tcMar>
            <w:textDirection w:val="btLr"/>
            <w:vAlign w:val="center"/>
          </w:tcPr>
          <w:p w14:paraId="6DBBFF1B">
            <w:pPr>
              <w:suppressAutoHyphens w:val="0"/>
              <w:ind w:right="109"/>
              <w:jc w:val="center"/>
              <w:rPr>
                <w:sz w:val="28"/>
                <w:szCs w:val="28"/>
                <w:lang w:val="en-GB"/>
              </w:rPr>
            </w:pPr>
            <w:r>
              <w:rPr>
                <w:b/>
                <w:iCs/>
                <w:szCs w:val="28"/>
                <w:lang w:val="en-GB"/>
              </w:rPr>
              <w:t>Lectures</w:t>
            </w:r>
          </w:p>
        </w:tc>
        <w:tc>
          <w:tcPr>
            <w:tcW w:w="567" w:type="dxa"/>
            <w:tcBorders>
              <w:top w:val="single" w:color="CCCCCC" w:sz="6" w:space="0"/>
              <w:left w:val="single" w:color="CCCCCC" w:sz="6" w:space="0"/>
              <w:bottom w:val="single" w:color="000000" w:sz="6" w:space="0"/>
              <w:right w:val="single" w:color="000000" w:sz="6" w:space="0"/>
            </w:tcBorders>
            <w:shd w:val="clear" w:color="auto" w:fill="FFFFFF"/>
            <w:tcMar>
              <w:top w:w="30" w:type="dxa"/>
              <w:left w:w="45" w:type="dxa"/>
              <w:bottom w:w="30" w:type="dxa"/>
              <w:right w:w="45" w:type="dxa"/>
            </w:tcMar>
            <w:textDirection w:val="btLr"/>
            <w:vAlign w:val="center"/>
          </w:tcPr>
          <w:p w14:paraId="6036A0EC">
            <w:pPr>
              <w:suppressAutoHyphens w:val="0"/>
              <w:ind w:right="109"/>
              <w:jc w:val="center"/>
              <w:rPr>
                <w:sz w:val="28"/>
                <w:szCs w:val="28"/>
                <w:lang w:val="en-GB"/>
              </w:rPr>
            </w:pPr>
            <w:r>
              <w:rPr>
                <w:b/>
                <w:bCs/>
                <w:szCs w:val="28"/>
                <w:lang w:val="en-GB"/>
              </w:rPr>
              <w:t>Seminars</w:t>
            </w:r>
          </w:p>
        </w:tc>
        <w:tc>
          <w:tcPr>
            <w:tcW w:w="709" w:type="dxa"/>
            <w:tcBorders>
              <w:top w:val="single" w:color="CCCCCC" w:sz="6" w:space="0"/>
              <w:left w:val="single" w:color="CCCCCC" w:sz="6" w:space="0"/>
              <w:bottom w:val="single" w:color="000000" w:sz="6" w:space="0"/>
              <w:right w:val="single" w:color="000000" w:sz="6" w:space="0"/>
            </w:tcBorders>
            <w:shd w:val="clear" w:color="auto" w:fill="FFFFFF"/>
            <w:tcMar>
              <w:top w:w="30" w:type="dxa"/>
              <w:left w:w="45" w:type="dxa"/>
              <w:bottom w:w="30" w:type="dxa"/>
              <w:right w:w="45" w:type="dxa"/>
            </w:tcMar>
            <w:textDirection w:val="btLr"/>
            <w:vAlign w:val="center"/>
          </w:tcPr>
          <w:p w14:paraId="2AC87027">
            <w:pPr>
              <w:suppressAutoHyphens w:val="0"/>
              <w:ind w:right="109"/>
              <w:jc w:val="center"/>
              <w:rPr>
                <w:sz w:val="28"/>
                <w:szCs w:val="28"/>
                <w:lang w:val="en-GB"/>
              </w:rPr>
            </w:pPr>
            <w:r>
              <w:rPr>
                <w:b/>
                <w:iCs/>
                <w:szCs w:val="28"/>
                <w:lang w:val="en-GB"/>
              </w:rPr>
              <w:t>Independent work</w:t>
            </w:r>
          </w:p>
        </w:tc>
        <w:tc>
          <w:tcPr>
            <w:tcW w:w="2693"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vAlign w:val="center"/>
          </w:tcPr>
          <w:p w14:paraId="668349A7">
            <w:pPr>
              <w:suppressAutoHyphens w:val="0"/>
              <w:ind w:right="109"/>
              <w:jc w:val="center"/>
              <w:rPr>
                <w:sz w:val="28"/>
                <w:szCs w:val="28"/>
                <w:lang w:val="en-GB"/>
              </w:rPr>
            </w:pPr>
            <w:r>
              <w:rPr>
                <w:b/>
                <w:bCs/>
                <w:szCs w:val="28"/>
                <w:lang w:val="en-GB"/>
              </w:rPr>
              <w:t>Teaching methods</w:t>
            </w:r>
          </w:p>
        </w:tc>
        <w:tc>
          <w:tcPr>
            <w:tcW w:w="1701"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vAlign w:val="center"/>
          </w:tcPr>
          <w:p w14:paraId="55AD826E">
            <w:pPr>
              <w:suppressAutoHyphens w:val="0"/>
              <w:ind w:right="109"/>
              <w:jc w:val="center"/>
              <w:rPr>
                <w:sz w:val="28"/>
                <w:szCs w:val="28"/>
                <w:lang w:val="en-GB"/>
              </w:rPr>
            </w:pPr>
            <w:r>
              <w:rPr>
                <w:b/>
                <w:bCs/>
                <w:szCs w:val="28"/>
                <w:lang w:val="en-GB"/>
              </w:rPr>
              <w:t>Assessment methods</w:t>
            </w:r>
          </w:p>
        </w:tc>
      </w:tr>
      <w:tr w14:paraId="3514B57C">
        <w:tblPrEx>
          <w:tblCellMar>
            <w:top w:w="0" w:type="dxa"/>
            <w:left w:w="0" w:type="dxa"/>
            <w:bottom w:w="0" w:type="dxa"/>
            <w:right w:w="0" w:type="dxa"/>
          </w:tblCellMar>
        </w:tblPrEx>
        <w:trPr>
          <w:trHeight w:val="35" w:hRule="atLeast"/>
        </w:trPr>
        <w:tc>
          <w:tcPr>
            <w:tcW w:w="9712" w:type="dxa"/>
            <w:gridSpan w:val="7"/>
            <w:tcBorders>
              <w:top w:val="single" w:color="CCCCCC" w:sz="6" w:space="0"/>
              <w:left w:val="single" w:color="000000" w:sz="6" w:space="0"/>
              <w:bottom w:val="single" w:color="auto" w:sz="4" w:space="0"/>
              <w:right w:val="single" w:color="000000" w:sz="6" w:space="0"/>
            </w:tcBorders>
            <w:shd w:val="clear" w:color="auto" w:fill="FFFFFF"/>
            <w:tcMar>
              <w:top w:w="30" w:type="dxa"/>
              <w:left w:w="45" w:type="dxa"/>
              <w:bottom w:w="30" w:type="dxa"/>
              <w:right w:w="45" w:type="dxa"/>
            </w:tcMar>
            <w:vAlign w:val="center"/>
          </w:tcPr>
          <w:p w14:paraId="605C7D12">
            <w:pPr>
              <w:suppressAutoHyphens w:val="0"/>
              <w:ind w:right="-1"/>
              <w:jc w:val="center"/>
              <w:rPr>
                <w:b/>
                <w:sz w:val="28"/>
                <w:szCs w:val="28"/>
                <w:lang w:val="en-GB"/>
              </w:rPr>
            </w:pPr>
            <w:r>
              <w:rPr>
                <w:b/>
                <w:sz w:val="28"/>
                <w:szCs w:val="28"/>
                <w:lang w:val="en-GB"/>
              </w:rPr>
              <w:t>6</w:t>
            </w:r>
            <w:r>
              <w:rPr>
                <w:b/>
                <w:sz w:val="28"/>
                <w:szCs w:val="28"/>
                <w:vertAlign w:val="superscript"/>
                <w:lang w:val="en-GB"/>
              </w:rPr>
              <w:t>th</w:t>
            </w:r>
            <w:r>
              <w:rPr>
                <w:b/>
                <w:sz w:val="28"/>
                <w:szCs w:val="28"/>
                <w:lang w:val="en-GB"/>
              </w:rPr>
              <w:t xml:space="preserve"> semester</w:t>
            </w:r>
          </w:p>
          <w:p w14:paraId="2B13E3BE">
            <w:pPr>
              <w:suppressAutoHyphens w:val="0"/>
              <w:ind w:right="-1"/>
              <w:jc w:val="center"/>
              <w:rPr>
                <w:sz w:val="28"/>
                <w:szCs w:val="28"/>
                <w:lang w:val="en-GB"/>
              </w:rPr>
            </w:pPr>
            <w:r>
              <w:rPr>
                <w:sz w:val="28"/>
                <w:szCs w:val="28"/>
                <w:lang w:val="en-GB"/>
              </w:rPr>
              <w:t xml:space="preserve">Content Module 1.  </w:t>
            </w:r>
            <w:r>
              <w:rPr>
                <w:b/>
                <w:bCs/>
                <w:sz w:val="28"/>
                <w:szCs w:val="28"/>
                <w:lang w:val="en-GB"/>
              </w:rPr>
              <w:t>Enterprise and business</w:t>
            </w:r>
          </w:p>
        </w:tc>
      </w:tr>
      <w:tr w14:paraId="30F74A63">
        <w:tblPrEx>
          <w:tblCellMar>
            <w:top w:w="0" w:type="dxa"/>
            <w:left w:w="0" w:type="dxa"/>
            <w:bottom w:w="0" w:type="dxa"/>
            <w:right w:w="0" w:type="dxa"/>
          </w:tblCellMar>
        </w:tblPrEx>
        <w:trPr>
          <w:trHeight w:val="558" w:hRule="atLeast"/>
        </w:trPr>
        <w:tc>
          <w:tcPr>
            <w:tcW w:w="439"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76831821">
            <w:pPr>
              <w:suppressAutoHyphens w:val="0"/>
              <w:ind w:right="-1"/>
              <w:rPr>
                <w:sz w:val="28"/>
                <w:szCs w:val="28"/>
                <w:lang w:val="en-GB"/>
              </w:rPr>
            </w:pPr>
            <w:r>
              <w:rPr>
                <w:sz w:val="28"/>
                <w:szCs w:val="28"/>
                <w:lang w:val="en-GB"/>
              </w:rPr>
              <w:t>1.</w:t>
            </w:r>
          </w:p>
        </w:tc>
        <w:tc>
          <w:tcPr>
            <w:tcW w:w="3036"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1E41B223">
            <w:pPr>
              <w:suppressAutoHyphens w:val="0"/>
              <w:ind w:right="-1"/>
              <w:rPr>
                <w:sz w:val="28"/>
                <w:szCs w:val="28"/>
                <w:lang w:val="en-GB"/>
              </w:rPr>
            </w:pPr>
            <w:r>
              <w:rPr>
                <w:sz w:val="28"/>
                <w:szCs w:val="28"/>
                <w:lang w:val="en-GB"/>
              </w:rPr>
              <w:t>The place of entrepreneurship in society</w:t>
            </w:r>
          </w:p>
        </w:tc>
        <w:tc>
          <w:tcPr>
            <w:tcW w:w="567"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595B9DD6">
            <w:pPr>
              <w:suppressAutoHyphens w:val="0"/>
              <w:ind w:right="-1"/>
              <w:jc w:val="center"/>
              <w:rPr>
                <w:sz w:val="28"/>
                <w:szCs w:val="28"/>
                <w:lang w:val="en-GB"/>
              </w:rPr>
            </w:pPr>
            <w:r>
              <w:rPr>
                <w:sz w:val="28"/>
                <w:szCs w:val="28"/>
                <w:lang w:val="en-GB"/>
              </w:rPr>
              <w:t xml:space="preserve"> 4</w:t>
            </w:r>
          </w:p>
        </w:tc>
        <w:tc>
          <w:tcPr>
            <w:tcW w:w="567"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2AC312A1">
            <w:pPr>
              <w:suppressAutoHyphens w:val="0"/>
              <w:ind w:right="-1"/>
              <w:jc w:val="center"/>
              <w:rPr>
                <w:sz w:val="28"/>
                <w:szCs w:val="28"/>
                <w:lang w:val="en-GB"/>
              </w:rPr>
            </w:pPr>
            <w:r>
              <w:rPr>
                <w:sz w:val="28"/>
                <w:szCs w:val="28"/>
                <w:lang w:val="en-GB"/>
              </w:rPr>
              <w:t xml:space="preserve"> 2</w:t>
            </w:r>
          </w:p>
        </w:tc>
        <w:tc>
          <w:tcPr>
            <w:tcW w:w="709"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18AE75F2">
            <w:pPr>
              <w:suppressAutoHyphens w:val="0"/>
              <w:ind w:right="-1"/>
              <w:jc w:val="center"/>
              <w:rPr>
                <w:sz w:val="28"/>
                <w:szCs w:val="28"/>
                <w:lang w:val="en-GB"/>
              </w:rPr>
            </w:pPr>
            <w:r>
              <w:rPr>
                <w:sz w:val="28"/>
                <w:szCs w:val="28"/>
                <w:lang w:val="en-GB"/>
              </w:rPr>
              <w:t>6</w:t>
            </w:r>
          </w:p>
        </w:tc>
        <w:tc>
          <w:tcPr>
            <w:tcW w:w="2693"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77EF7504">
            <w:pPr>
              <w:suppressAutoHyphens w:val="0"/>
              <w:ind w:right="-1"/>
              <w:rPr>
                <w:sz w:val="24"/>
                <w:szCs w:val="28"/>
                <w:lang w:val="en-GB"/>
              </w:rPr>
            </w:pPr>
            <w:r>
              <w:rPr>
                <w:sz w:val="24"/>
                <w:szCs w:val="28"/>
                <w:lang w:val="en-GB"/>
              </w:rPr>
              <w:t>Lecture with discussion elements, analytical reading of articles</w:t>
            </w:r>
          </w:p>
        </w:tc>
        <w:tc>
          <w:tcPr>
            <w:tcW w:w="1701"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38690BD2">
            <w:pPr>
              <w:suppressAutoHyphens w:val="0"/>
              <w:ind w:right="-1"/>
              <w:rPr>
                <w:sz w:val="24"/>
                <w:szCs w:val="28"/>
                <w:lang w:val="en-GB"/>
              </w:rPr>
            </w:pPr>
            <w:r>
              <w:rPr>
                <w:sz w:val="24"/>
                <w:szCs w:val="28"/>
                <w:lang w:val="en-GB"/>
              </w:rPr>
              <w:t>Oral questioning, mini-essays</w:t>
            </w:r>
          </w:p>
        </w:tc>
      </w:tr>
      <w:tr w14:paraId="208E00AB">
        <w:tblPrEx>
          <w:tblCellMar>
            <w:top w:w="0" w:type="dxa"/>
            <w:left w:w="0" w:type="dxa"/>
            <w:bottom w:w="0" w:type="dxa"/>
            <w:right w:w="0" w:type="dxa"/>
          </w:tblCellMar>
        </w:tblPrEx>
        <w:trPr>
          <w:trHeight w:val="558" w:hRule="atLeast"/>
        </w:trPr>
        <w:tc>
          <w:tcPr>
            <w:tcW w:w="439"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762F7538">
            <w:pPr>
              <w:suppressAutoHyphens w:val="0"/>
              <w:ind w:right="-1"/>
              <w:rPr>
                <w:sz w:val="28"/>
                <w:szCs w:val="28"/>
                <w:lang w:val="en-GB"/>
              </w:rPr>
            </w:pPr>
            <w:r>
              <w:rPr>
                <w:sz w:val="28"/>
                <w:szCs w:val="28"/>
                <w:lang w:val="en-GB"/>
              </w:rPr>
              <w:t>2</w:t>
            </w:r>
          </w:p>
        </w:tc>
        <w:tc>
          <w:tcPr>
            <w:tcW w:w="3036"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15B0EC38">
            <w:pPr>
              <w:suppressAutoHyphens w:val="0"/>
              <w:ind w:right="-1"/>
              <w:rPr>
                <w:sz w:val="28"/>
                <w:szCs w:val="28"/>
                <w:lang w:val="en-GB"/>
              </w:rPr>
            </w:pPr>
            <w:r>
              <w:rPr>
                <w:sz w:val="28"/>
                <w:szCs w:val="28"/>
                <w:lang w:val="en-GB"/>
              </w:rPr>
              <w:t>Types of entrepreneurship</w:t>
            </w:r>
          </w:p>
        </w:tc>
        <w:tc>
          <w:tcPr>
            <w:tcW w:w="567"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3F62D206">
            <w:pPr>
              <w:suppressAutoHyphens w:val="0"/>
              <w:ind w:right="-1"/>
              <w:jc w:val="center"/>
              <w:rPr>
                <w:sz w:val="28"/>
                <w:szCs w:val="28"/>
                <w:lang w:val="en-GB"/>
              </w:rPr>
            </w:pPr>
            <w:r>
              <w:rPr>
                <w:sz w:val="28"/>
                <w:szCs w:val="28"/>
                <w:lang w:val="en-GB"/>
              </w:rPr>
              <w:t xml:space="preserve"> 4</w:t>
            </w:r>
          </w:p>
        </w:tc>
        <w:tc>
          <w:tcPr>
            <w:tcW w:w="567"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4D1FF410">
            <w:pPr>
              <w:suppressAutoHyphens w:val="0"/>
              <w:ind w:right="-1"/>
              <w:jc w:val="center"/>
              <w:rPr>
                <w:sz w:val="28"/>
                <w:szCs w:val="28"/>
                <w:lang w:val="en-GB"/>
              </w:rPr>
            </w:pPr>
            <w:r>
              <w:rPr>
                <w:sz w:val="28"/>
                <w:szCs w:val="28"/>
                <w:lang w:val="en-GB"/>
              </w:rPr>
              <w:t xml:space="preserve"> 2</w:t>
            </w:r>
          </w:p>
        </w:tc>
        <w:tc>
          <w:tcPr>
            <w:tcW w:w="709"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5DE2F961">
            <w:pPr>
              <w:suppressAutoHyphens w:val="0"/>
              <w:ind w:right="-1"/>
              <w:jc w:val="center"/>
              <w:rPr>
                <w:sz w:val="28"/>
                <w:szCs w:val="28"/>
                <w:lang w:val="en-GB"/>
              </w:rPr>
            </w:pPr>
            <w:r>
              <w:rPr>
                <w:sz w:val="28"/>
                <w:szCs w:val="28"/>
                <w:lang w:val="en-GB"/>
              </w:rPr>
              <w:t>6</w:t>
            </w:r>
          </w:p>
        </w:tc>
        <w:tc>
          <w:tcPr>
            <w:tcW w:w="2693"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6785E9D5">
            <w:pPr>
              <w:suppressAutoHyphens w:val="0"/>
              <w:ind w:right="-1"/>
              <w:rPr>
                <w:sz w:val="24"/>
                <w:szCs w:val="28"/>
                <w:lang w:val="en-GB"/>
              </w:rPr>
            </w:pPr>
            <w:r>
              <w:rPr>
                <w:sz w:val="24"/>
                <w:szCs w:val="28"/>
                <w:lang w:val="en-GB"/>
              </w:rPr>
              <w:t>Visualisation of examples, group work (classification)</w:t>
            </w:r>
          </w:p>
        </w:tc>
        <w:tc>
          <w:tcPr>
            <w:tcW w:w="1701"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17688A4A">
            <w:pPr>
              <w:suppressAutoHyphens w:val="0"/>
              <w:ind w:right="-1"/>
              <w:rPr>
                <w:sz w:val="24"/>
                <w:szCs w:val="28"/>
                <w:lang w:val="en-GB"/>
              </w:rPr>
            </w:pPr>
            <w:r>
              <w:rPr>
                <w:sz w:val="24"/>
                <w:szCs w:val="28"/>
                <w:lang w:val="en-GB"/>
              </w:rPr>
              <w:t>Testing, presentation of work results</w:t>
            </w:r>
          </w:p>
        </w:tc>
      </w:tr>
      <w:tr w14:paraId="71079ACE">
        <w:tblPrEx>
          <w:tblCellMar>
            <w:top w:w="0" w:type="dxa"/>
            <w:left w:w="0" w:type="dxa"/>
            <w:bottom w:w="0" w:type="dxa"/>
            <w:right w:w="0" w:type="dxa"/>
          </w:tblCellMar>
        </w:tblPrEx>
        <w:trPr>
          <w:trHeight w:val="558" w:hRule="atLeast"/>
        </w:trPr>
        <w:tc>
          <w:tcPr>
            <w:tcW w:w="439"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48E7F078">
            <w:pPr>
              <w:suppressAutoHyphens w:val="0"/>
              <w:ind w:right="-1"/>
              <w:rPr>
                <w:sz w:val="28"/>
                <w:szCs w:val="28"/>
                <w:lang w:val="en-GB"/>
              </w:rPr>
            </w:pPr>
            <w:r>
              <w:rPr>
                <w:sz w:val="28"/>
                <w:szCs w:val="28"/>
                <w:lang w:val="en-GB"/>
              </w:rPr>
              <w:t>3</w:t>
            </w:r>
          </w:p>
        </w:tc>
        <w:tc>
          <w:tcPr>
            <w:tcW w:w="3036"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05011266">
            <w:pPr>
              <w:suppressAutoHyphens w:val="0"/>
              <w:ind w:right="-1"/>
              <w:rPr>
                <w:sz w:val="28"/>
                <w:szCs w:val="28"/>
                <w:lang w:val="en-GB"/>
              </w:rPr>
            </w:pPr>
            <w:r>
              <w:rPr>
                <w:sz w:val="28"/>
                <w:szCs w:val="28"/>
                <w:lang w:val="en-GB"/>
              </w:rPr>
              <w:t>Organisational forms of entrepreneurship</w:t>
            </w:r>
          </w:p>
        </w:tc>
        <w:tc>
          <w:tcPr>
            <w:tcW w:w="567"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152B8EA0">
            <w:pPr>
              <w:suppressAutoHyphens w:val="0"/>
              <w:ind w:right="-1"/>
              <w:jc w:val="center"/>
              <w:rPr>
                <w:sz w:val="28"/>
                <w:szCs w:val="28"/>
                <w:lang w:val="en-GB"/>
              </w:rPr>
            </w:pPr>
            <w:r>
              <w:rPr>
                <w:sz w:val="28"/>
                <w:szCs w:val="28"/>
                <w:lang w:val="en-GB"/>
              </w:rPr>
              <w:t>4</w:t>
            </w:r>
          </w:p>
        </w:tc>
        <w:tc>
          <w:tcPr>
            <w:tcW w:w="567"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430B531C">
            <w:pPr>
              <w:suppressAutoHyphens w:val="0"/>
              <w:ind w:right="-1"/>
              <w:jc w:val="center"/>
              <w:rPr>
                <w:sz w:val="28"/>
                <w:szCs w:val="28"/>
                <w:lang w:val="en-GB"/>
              </w:rPr>
            </w:pPr>
            <w:r>
              <w:rPr>
                <w:sz w:val="28"/>
                <w:szCs w:val="28"/>
                <w:lang w:val="en-GB"/>
              </w:rPr>
              <w:t xml:space="preserve"> 2</w:t>
            </w:r>
          </w:p>
        </w:tc>
        <w:tc>
          <w:tcPr>
            <w:tcW w:w="709"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248041D9">
            <w:pPr>
              <w:suppressAutoHyphens w:val="0"/>
              <w:ind w:right="-1"/>
              <w:jc w:val="center"/>
              <w:rPr>
                <w:sz w:val="28"/>
                <w:szCs w:val="28"/>
                <w:lang w:val="en-GB"/>
              </w:rPr>
            </w:pPr>
            <w:r>
              <w:rPr>
                <w:sz w:val="28"/>
                <w:szCs w:val="28"/>
                <w:lang w:val="en-GB"/>
              </w:rPr>
              <w:t>6</w:t>
            </w:r>
          </w:p>
        </w:tc>
        <w:tc>
          <w:tcPr>
            <w:tcW w:w="2693"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676AF227">
            <w:pPr>
              <w:suppressAutoHyphens w:val="0"/>
              <w:ind w:right="-1"/>
              <w:rPr>
                <w:sz w:val="24"/>
                <w:szCs w:val="28"/>
                <w:lang w:val="en-GB"/>
              </w:rPr>
            </w:pPr>
            <w:r>
              <w:rPr>
                <w:sz w:val="24"/>
                <w:szCs w:val="28"/>
                <w:lang w:val="en-GB"/>
              </w:rPr>
              <w:t>Case study, demonstration of registration documents</w:t>
            </w:r>
          </w:p>
        </w:tc>
        <w:tc>
          <w:tcPr>
            <w:tcW w:w="1701"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0CD8B796">
            <w:pPr>
              <w:suppressAutoHyphens w:val="0"/>
              <w:ind w:right="-1"/>
              <w:rPr>
                <w:sz w:val="24"/>
                <w:szCs w:val="28"/>
                <w:lang w:val="en-GB"/>
              </w:rPr>
            </w:pPr>
            <w:r>
              <w:rPr>
                <w:sz w:val="24"/>
                <w:szCs w:val="28"/>
                <w:lang w:val="en-GB"/>
              </w:rPr>
              <w:t>Case analysis, written answers to questions</w:t>
            </w:r>
          </w:p>
        </w:tc>
      </w:tr>
      <w:tr w14:paraId="6421F421">
        <w:tblPrEx>
          <w:tblCellMar>
            <w:top w:w="0" w:type="dxa"/>
            <w:left w:w="0" w:type="dxa"/>
            <w:bottom w:w="0" w:type="dxa"/>
            <w:right w:w="0" w:type="dxa"/>
          </w:tblCellMar>
        </w:tblPrEx>
        <w:trPr>
          <w:trHeight w:val="558" w:hRule="atLeast"/>
        </w:trPr>
        <w:tc>
          <w:tcPr>
            <w:tcW w:w="439"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51DCC2D9">
            <w:pPr>
              <w:suppressAutoHyphens w:val="0"/>
              <w:ind w:right="-1"/>
              <w:rPr>
                <w:sz w:val="28"/>
                <w:szCs w:val="28"/>
                <w:lang w:val="en-GB"/>
              </w:rPr>
            </w:pPr>
            <w:r>
              <w:rPr>
                <w:sz w:val="28"/>
                <w:szCs w:val="28"/>
                <w:lang w:val="en-GB"/>
              </w:rPr>
              <w:t>4</w:t>
            </w:r>
          </w:p>
        </w:tc>
        <w:tc>
          <w:tcPr>
            <w:tcW w:w="3036"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1D2BDA2C">
            <w:pPr>
              <w:suppressAutoHyphens w:val="0"/>
              <w:ind w:right="-1"/>
              <w:rPr>
                <w:sz w:val="28"/>
                <w:szCs w:val="28"/>
                <w:lang w:val="en-GB"/>
              </w:rPr>
            </w:pPr>
            <w:r>
              <w:rPr>
                <w:sz w:val="28"/>
                <w:szCs w:val="28"/>
                <w:lang w:val="en-GB"/>
              </w:rPr>
              <w:t>Small business</w:t>
            </w:r>
          </w:p>
        </w:tc>
        <w:tc>
          <w:tcPr>
            <w:tcW w:w="567"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365D8D92">
            <w:pPr>
              <w:suppressAutoHyphens w:val="0"/>
              <w:ind w:right="-1"/>
              <w:jc w:val="center"/>
              <w:rPr>
                <w:sz w:val="28"/>
                <w:szCs w:val="28"/>
                <w:lang w:val="en-GB"/>
              </w:rPr>
            </w:pPr>
            <w:r>
              <w:rPr>
                <w:sz w:val="28"/>
                <w:szCs w:val="28"/>
                <w:lang w:val="en-GB"/>
              </w:rPr>
              <w:t xml:space="preserve"> 2</w:t>
            </w:r>
          </w:p>
        </w:tc>
        <w:tc>
          <w:tcPr>
            <w:tcW w:w="567"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3E0CEDBC">
            <w:pPr>
              <w:suppressAutoHyphens w:val="0"/>
              <w:ind w:right="-1"/>
              <w:jc w:val="center"/>
              <w:rPr>
                <w:sz w:val="28"/>
                <w:szCs w:val="28"/>
                <w:lang w:val="en-GB"/>
              </w:rPr>
            </w:pPr>
            <w:r>
              <w:rPr>
                <w:sz w:val="28"/>
                <w:szCs w:val="28"/>
                <w:lang w:val="en-GB"/>
              </w:rPr>
              <w:t xml:space="preserve"> 2</w:t>
            </w:r>
          </w:p>
        </w:tc>
        <w:tc>
          <w:tcPr>
            <w:tcW w:w="709"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11091B05">
            <w:pPr>
              <w:suppressAutoHyphens w:val="0"/>
              <w:ind w:right="-1"/>
              <w:jc w:val="center"/>
              <w:rPr>
                <w:sz w:val="28"/>
                <w:szCs w:val="28"/>
                <w:lang w:val="en-GB"/>
              </w:rPr>
            </w:pPr>
            <w:r>
              <w:rPr>
                <w:sz w:val="28"/>
                <w:szCs w:val="28"/>
                <w:lang w:val="en-GB"/>
              </w:rPr>
              <w:t>6</w:t>
            </w:r>
          </w:p>
        </w:tc>
        <w:tc>
          <w:tcPr>
            <w:tcW w:w="2693"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255E3A80">
            <w:pPr>
              <w:suppressAutoHyphens w:val="0"/>
              <w:ind w:right="-1"/>
              <w:rPr>
                <w:sz w:val="24"/>
                <w:szCs w:val="28"/>
                <w:lang w:val="en-GB"/>
              </w:rPr>
            </w:pPr>
            <w:r>
              <w:rPr>
                <w:sz w:val="24"/>
                <w:szCs w:val="28"/>
                <w:lang w:val="en-GB"/>
              </w:rPr>
              <w:t>Guest lecture by an entrepreneur, discussion</w:t>
            </w:r>
          </w:p>
        </w:tc>
        <w:tc>
          <w:tcPr>
            <w:tcW w:w="1701"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2AF7165F">
            <w:pPr>
              <w:suppressAutoHyphens w:val="0"/>
              <w:ind w:right="-1"/>
              <w:rPr>
                <w:sz w:val="24"/>
                <w:szCs w:val="28"/>
                <w:lang w:val="en-GB"/>
              </w:rPr>
            </w:pPr>
            <w:r>
              <w:rPr>
                <w:sz w:val="24"/>
                <w:szCs w:val="28"/>
                <w:lang w:val="en-GB"/>
              </w:rPr>
              <w:t>Reflective essay, participation in discussion</w:t>
            </w:r>
          </w:p>
        </w:tc>
      </w:tr>
      <w:tr w14:paraId="7896735F">
        <w:tblPrEx>
          <w:tblCellMar>
            <w:top w:w="0" w:type="dxa"/>
            <w:left w:w="0" w:type="dxa"/>
            <w:bottom w:w="0" w:type="dxa"/>
            <w:right w:w="0" w:type="dxa"/>
          </w:tblCellMar>
        </w:tblPrEx>
        <w:trPr>
          <w:trHeight w:val="558" w:hRule="atLeast"/>
        </w:trPr>
        <w:tc>
          <w:tcPr>
            <w:tcW w:w="439"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7A2A6A26">
            <w:pPr>
              <w:suppressAutoHyphens w:val="0"/>
              <w:ind w:right="-1"/>
              <w:rPr>
                <w:sz w:val="28"/>
                <w:szCs w:val="28"/>
                <w:lang w:val="en-GB"/>
              </w:rPr>
            </w:pPr>
            <w:r>
              <w:rPr>
                <w:sz w:val="28"/>
                <w:szCs w:val="28"/>
                <w:lang w:val="en-GB"/>
              </w:rPr>
              <w:t>5</w:t>
            </w:r>
          </w:p>
        </w:tc>
        <w:tc>
          <w:tcPr>
            <w:tcW w:w="3036"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48372E2A">
            <w:pPr>
              <w:suppressAutoHyphens w:val="0"/>
              <w:ind w:right="-1"/>
              <w:rPr>
                <w:sz w:val="28"/>
                <w:szCs w:val="28"/>
                <w:lang w:val="en-GB"/>
              </w:rPr>
            </w:pPr>
            <w:r>
              <w:rPr>
                <w:sz w:val="28"/>
                <w:szCs w:val="28"/>
                <w:lang w:val="en-GB"/>
              </w:rPr>
              <w:t>Peasant (farmer) economy</w:t>
            </w:r>
          </w:p>
        </w:tc>
        <w:tc>
          <w:tcPr>
            <w:tcW w:w="567"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07F2CC91">
            <w:pPr>
              <w:suppressAutoHyphens w:val="0"/>
              <w:ind w:right="-1"/>
              <w:jc w:val="center"/>
              <w:rPr>
                <w:sz w:val="28"/>
                <w:szCs w:val="28"/>
                <w:lang w:val="en-GB"/>
              </w:rPr>
            </w:pPr>
            <w:r>
              <w:rPr>
                <w:sz w:val="28"/>
                <w:szCs w:val="28"/>
                <w:lang w:val="en-GB"/>
              </w:rPr>
              <w:t xml:space="preserve"> 2</w:t>
            </w:r>
          </w:p>
        </w:tc>
        <w:tc>
          <w:tcPr>
            <w:tcW w:w="567"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089E78D9">
            <w:pPr>
              <w:suppressAutoHyphens w:val="0"/>
              <w:ind w:right="-1"/>
              <w:jc w:val="center"/>
              <w:rPr>
                <w:sz w:val="28"/>
                <w:szCs w:val="28"/>
                <w:lang w:val="en-GB"/>
              </w:rPr>
            </w:pPr>
            <w:r>
              <w:rPr>
                <w:sz w:val="28"/>
                <w:szCs w:val="28"/>
                <w:lang w:val="en-GB"/>
              </w:rPr>
              <w:t xml:space="preserve"> 1</w:t>
            </w:r>
          </w:p>
        </w:tc>
        <w:tc>
          <w:tcPr>
            <w:tcW w:w="709"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428EC9B7">
            <w:pPr>
              <w:suppressAutoHyphens w:val="0"/>
              <w:ind w:right="-1"/>
              <w:jc w:val="center"/>
              <w:rPr>
                <w:sz w:val="28"/>
                <w:szCs w:val="28"/>
                <w:lang w:val="en-GB"/>
              </w:rPr>
            </w:pPr>
            <w:r>
              <w:rPr>
                <w:sz w:val="28"/>
                <w:szCs w:val="28"/>
                <w:lang w:val="en-GB"/>
              </w:rPr>
              <w:t>6</w:t>
            </w:r>
          </w:p>
        </w:tc>
        <w:tc>
          <w:tcPr>
            <w:tcW w:w="2693"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7ADD43C0">
            <w:pPr>
              <w:suppressAutoHyphens w:val="0"/>
              <w:ind w:right="-1"/>
              <w:rPr>
                <w:sz w:val="24"/>
                <w:szCs w:val="28"/>
                <w:lang w:val="en-GB"/>
              </w:rPr>
            </w:pPr>
            <w:r>
              <w:rPr>
                <w:sz w:val="24"/>
                <w:szCs w:val="28"/>
                <w:lang w:val="en-GB"/>
              </w:rPr>
              <w:t>Watching videos, discussing the legislative framework</w:t>
            </w:r>
          </w:p>
        </w:tc>
        <w:tc>
          <w:tcPr>
            <w:tcW w:w="1701"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157D0787">
            <w:pPr>
              <w:suppressAutoHyphens w:val="0"/>
              <w:ind w:right="-1"/>
              <w:rPr>
                <w:sz w:val="24"/>
                <w:szCs w:val="28"/>
                <w:lang w:val="en-GB"/>
              </w:rPr>
            </w:pPr>
            <w:r>
              <w:rPr>
                <w:sz w:val="24"/>
                <w:szCs w:val="28"/>
                <w:lang w:val="en-GB"/>
              </w:rPr>
              <w:t>Written report, testing</w:t>
            </w:r>
          </w:p>
        </w:tc>
      </w:tr>
      <w:tr w14:paraId="17604E39">
        <w:tblPrEx>
          <w:tblCellMar>
            <w:top w:w="0" w:type="dxa"/>
            <w:left w:w="0" w:type="dxa"/>
            <w:bottom w:w="0" w:type="dxa"/>
            <w:right w:w="0" w:type="dxa"/>
          </w:tblCellMar>
        </w:tblPrEx>
        <w:trPr>
          <w:trHeight w:val="558" w:hRule="atLeast"/>
        </w:trPr>
        <w:tc>
          <w:tcPr>
            <w:tcW w:w="439"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043C20C8">
            <w:pPr>
              <w:suppressAutoHyphens w:val="0"/>
              <w:ind w:right="-1"/>
              <w:rPr>
                <w:sz w:val="28"/>
                <w:szCs w:val="28"/>
                <w:lang w:val="en-GB"/>
              </w:rPr>
            </w:pPr>
            <w:r>
              <w:rPr>
                <w:sz w:val="28"/>
                <w:szCs w:val="28"/>
                <w:lang w:val="en-GB"/>
              </w:rPr>
              <w:t>6</w:t>
            </w:r>
          </w:p>
        </w:tc>
        <w:tc>
          <w:tcPr>
            <w:tcW w:w="3036"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11C24791">
            <w:pPr>
              <w:suppressAutoHyphens w:val="0"/>
              <w:ind w:right="-1"/>
              <w:rPr>
                <w:sz w:val="28"/>
                <w:szCs w:val="28"/>
                <w:lang w:val="en-GB"/>
              </w:rPr>
            </w:pPr>
            <w:r>
              <w:rPr>
                <w:sz w:val="28"/>
                <w:szCs w:val="28"/>
                <w:lang w:val="en-GB"/>
              </w:rPr>
              <w:t>International entrepreneurship</w:t>
            </w:r>
          </w:p>
        </w:tc>
        <w:tc>
          <w:tcPr>
            <w:tcW w:w="567"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65402DE9">
            <w:pPr>
              <w:suppressAutoHyphens w:val="0"/>
              <w:ind w:right="-1"/>
              <w:jc w:val="center"/>
              <w:rPr>
                <w:sz w:val="28"/>
                <w:szCs w:val="28"/>
                <w:lang w:val="en-GB"/>
              </w:rPr>
            </w:pPr>
            <w:r>
              <w:rPr>
                <w:sz w:val="28"/>
                <w:szCs w:val="28"/>
                <w:lang w:val="en-GB"/>
              </w:rPr>
              <w:t xml:space="preserve"> 2</w:t>
            </w:r>
          </w:p>
        </w:tc>
        <w:tc>
          <w:tcPr>
            <w:tcW w:w="567"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6A2E323D">
            <w:pPr>
              <w:suppressAutoHyphens w:val="0"/>
              <w:ind w:right="-1"/>
              <w:jc w:val="center"/>
              <w:rPr>
                <w:sz w:val="28"/>
                <w:szCs w:val="28"/>
                <w:lang w:val="en-GB"/>
              </w:rPr>
            </w:pPr>
            <w:r>
              <w:rPr>
                <w:sz w:val="28"/>
                <w:szCs w:val="28"/>
                <w:lang w:val="en-GB"/>
              </w:rPr>
              <w:t xml:space="preserve"> 1</w:t>
            </w:r>
          </w:p>
        </w:tc>
        <w:tc>
          <w:tcPr>
            <w:tcW w:w="709"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094A2BE6">
            <w:pPr>
              <w:suppressAutoHyphens w:val="0"/>
              <w:ind w:right="-1"/>
              <w:jc w:val="center"/>
              <w:rPr>
                <w:sz w:val="28"/>
                <w:szCs w:val="28"/>
                <w:lang w:val="en-GB"/>
              </w:rPr>
            </w:pPr>
            <w:r>
              <w:rPr>
                <w:sz w:val="28"/>
                <w:szCs w:val="28"/>
                <w:lang w:val="en-GB"/>
              </w:rPr>
              <w:t>6</w:t>
            </w:r>
          </w:p>
        </w:tc>
        <w:tc>
          <w:tcPr>
            <w:tcW w:w="2693"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7D82D2F2">
            <w:pPr>
              <w:suppressAutoHyphens w:val="0"/>
              <w:ind w:right="-1"/>
              <w:rPr>
                <w:sz w:val="24"/>
                <w:szCs w:val="28"/>
                <w:lang w:val="en-GB"/>
              </w:rPr>
            </w:pPr>
            <w:r>
              <w:rPr>
                <w:sz w:val="24"/>
                <w:szCs w:val="28"/>
                <w:lang w:val="en-GB"/>
              </w:rPr>
              <w:t>Situation analysis (SWOT), country presentations</w:t>
            </w:r>
          </w:p>
        </w:tc>
        <w:tc>
          <w:tcPr>
            <w:tcW w:w="1701"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1EE37731">
            <w:pPr>
              <w:suppressAutoHyphens w:val="0"/>
              <w:ind w:right="-1"/>
              <w:rPr>
                <w:sz w:val="24"/>
                <w:szCs w:val="28"/>
                <w:lang w:val="en-GB"/>
              </w:rPr>
            </w:pPr>
            <w:r>
              <w:rPr>
                <w:sz w:val="24"/>
                <w:szCs w:val="28"/>
                <w:lang w:val="en-GB"/>
              </w:rPr>
              <w:t>Presentation in pairs, evaluation of SWOT analysis</w:t>
            </w:r>
          </w:p>
        </w:tc>
      </w:tr>
      <w:tr w14:paraId="4795F55E">
        <w:tblPrEx>
          <w:tblCellMar>
            <w:top w:w="0" w:type="dxa"/>
            <w:left w:w="0" w:type="dxa"/>
            <w:bottom w:w="0" w:type="dxa"/>
            <w:right w:w="0" w:type="dxa"/>
          </w:tblCellMar>
        </w:tblPrEx>
        <w:trPr>
          <w:trHeight w:val="558" w:hRule="atLeast"/>
        </w:trPr>
        <w:tc>
          <w:tcPr>
            <w:tcW w:w="439"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66066FA2">
            <w:pPr>
              <w:suppressAutoHyphens w:val="0"/>
              <w:ind w:right="-1"/>
              <w:rPr>
                <w:sz w:val="28"/>
                <w:szCs w:val="28"/>
                <w:lang w:val="en-GB"/>
              </w:rPr>
            </w:pPr>
            <w:r>
              <w:rPr>
                <w:sz w:val="28"/>
                <w:szCs w:val="28"/>
                <w:lang w:val="en-GB"/>
              </w:rPr>
              <w:t>7</w:t>
            </w:r>
          </w:p>
        </w:tc>
        <w:tc>
          <w:tcPr>
            <w:tcW w:w="3036"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1FF57BDC">
            <w:pPr>
              <w:suppressAutoHyphens w:val="0"/>
              <w:ind w:right="-1"/>
              <w:rPr>
                <w:sz w:val="28"/>
                <w:szCs w:val="28"/>
                <w:lang w:val="en-GB"/>
              </w:rPr>
            </w:pPr>
            <w:r>
              <w:rPr>
                <w:sz w:val="28"/>
                <w:szCs w:val="28"/>
                <w:lang w:val="en-GB"/>
              </w:rPr>
              <w:t>State regulation of entrepreneurial activity</w:t>
            </w:r>
          </w:p>
        </w:tc>
        <w:tc>
          <w:tcPr>
            <w:tcW w:w="567"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279D70E1">
            <w:pPr>
              <w:suppressAutoHyphens w:val="0"/>
              <w:ind w:right="-1"/>
              <w:jc w:val="center"/>
              <w:rPr>
                <w:sz w:val="28"/>
                <w:szCs w:val="28"/>
                <w:lang w:val="en-GB"/>
              </w:rPr>
            </w:pPr>
            <w:r>
              <w:rPr>
                <w:sz w:val="28"/>
                <w:szCs w:val="28"/>
                <w:lang w:val="en-GB"/>
              </w:rPr>
              <w:t xml:space="preserve"> 2</w:t>
            </w:r>
          </w:p>
        </w:tc>
        <w:tc>
          <w:tcPr>
            <w:tcW w:w="567"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5E0025ED">
            <w:pPr>
              <w:suppressAutoHyphens w:val="0"/>
              <w:ind w:right="-1"/>
              <w:jc w:val="center"/>
              <w:rPr>
                <w:sz w:val="28"/>
                <w:szCs w:val="28"/>
                <w:lang w:val="en-GB"/>
              </w:rPr>
            </w:pPr>
            <w:r>
              <w:rPr>
                <w:sz w:val="28"/>
                <w:szCs w:val="28"/>
                <w:lang w:val="en-GB"/>
              </w:rPr>
              <w:t xml:space="preserve"> 2</w:t>
            </w:r>
          </w:p>
        </w:tc>
        <w:tc>
          <w:tcPr>
            <w:tcW w:w="709"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46BBEC29">
            <w:pPr>
              <w:suppressAutoHyphens w:val="0"/>
              <w:ind w:right="-1"/>
              <w:jc w:val="center"/>
              <w:rPr>
                <w:sz w:val="28"/>
                <w:szCs w:val="28"/>
                <w:lang w:val="en-GB"/>
              </w:rPr>
            </w:pPr>
            <w:r>
              <w:rPr>
                <w:sz w:val="28"/>
                <w:szCs w:val="28"/>
                <w:lang w:val="en-GB"/>
              </w:rPr>
              <w:t>6</w:t>
            </w:r>
          </w:p>
        </w:tc>
        <w:tc>
          <w:tcPr>
            <w:tcW w:w="2693"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325FAC6C">
            <w:pPr>
              <w:suppressAutoHyphens w:val="0"/>
              <w:ind w:right="-1"/>
              <w:rPr>
                <w:sz w:val="24"/>
                <w:szCs w:val="28"/>
                <w:lang w:val="en-GB"/>
              </w:rPr>
            </w:pPr>
            <w:r>
              <w:rPr>
                <w:sz w:val="24"/>
                <w:szCs w:val="28"/>
                <w:lang w:val="en-GB"/>
              </w:rPr>
              <w:t>Working with regulatory acts, mini-lecture</w:t>
            </w:r>
          </w:p>
        </w:tc>
        <w:tc>
          <w:tcPr>
            <w:tcW w:w="1701"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1B6688AC">
            <w:pPr>
              <w:suppressAutoHyphens w:val="0"/>
              <w:ind w:right="-1"/>
              <w:rPr>
                <w:sz w:val="24"/>
                <w:szCs w:val="28"/>
                <w:lang w:val="en-GB"/>
              </w:rPr>
            </w:pPr>
            <w:r>
              <w:rPr>
                <w:sz w:val="24"/>
                <w:szCs w:val="28"/>
                <w:lang w:val="en-GB"/>
              </w:rPr>
              <w:t>Testing, written response to practical task</w:t>
            </w:r>
          </w:p>
        </w:tc>
      </w:tr>
      <w:tr w14:paraId="557FD2FE">
        <w:tblPrEx>
          <w:tblCellMar>
            <w:top w:w="0" w:type="dxa"/>
            <w:left w:w="0" w:type="dxa"/>
            <w:bottom w:w="0" w:type="dxa"/>
            <w:right w:w="0" w:type="dxa"/>
          </w:tblCellMar>
        </w:tblPrEx>
        <w:trPr>
          <w:trHeight w:val="293" w:hRule="atLeast"/>
        </w:trPr>
        <w:tc>
          <w:tcPr>
            <w:tcW w:w="9712" w:type="dxa"/>
            <w:gridSpan w:val="7"/>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vAlign w:val="bottom"/>
          </w:tcPr>
          <w:p w14:paraId="20220E00">
            <w:pPr>
              <w:suppressAutoHyphens w:val="0"/>
              <w:ind w:right="-1"/>
              <w:jc w:val="center"/>
              <w:rPr>
                <w:sz w:val="28"/>
                <w:szCs w:val="28"/>
                <w:lang w:val="en-GB"/>
              </w:rPr>
            </w:pPr>
            <w:r>
              <w:rPr>
                <w:b/>
                <w:bCs/>
                <w:sz w:val="28"/>
                <w:szCs w:val="28"/>
                <w:lang w:val="en-GB"/>
              </w:rPr>
              <w:t>2. Practical aspects of entrepreneurial activity</w:t>
            </w:r>
          </w:p>
        </w:tc>
      </w:tr>
      <w:tr w14:paraId="32D499B2">
        <w:tblPrEx>
          <w:tblCellMar>
            <w:top w:w="0" w:type="dxa"/>
            <w:left w:w="0" w:type="dxa"/>
            <w:bottom w:w="0" w:type="dxa"/>
            <w:right w:w="0" w:type="dxa"/>
          </w:tblCellMar>
        </w:tblPrEx>
        <w:trPr>
          <w:trHeight w:val="558" w:hRule="atLeast"/>
        </w:trPr>
        <w:tc>
          <w:tcPr>
            <w:tcW w:w="439"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0838E5D4">
            <w:pPr>
              <w:suppressAutoHyphens w:val="0"/>
              <w:ind w:right="-1"/>
              <w:rPr>
                <w:b/>
                <w:bCs/>
                <w:sz w:val="28"/>
                <w:szCs w:val="28"/>
                <w:lang w:val="en-GB"/>
              </w:rPr>
            </w:pPr>
            <w:r>
              <w:rPr>
                <w:sz w:val="28"/>
                <w:szCs w:val="28"/>
                <w:lang w:val="en-GB"/>
              </w:rPr>
              <w:t>8</w:t>
            </w:r>
          </w:p>
        </w:tc>
        <w:tc>
          <w:tcPr>
            <w:tcW w:w="3036"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09D5BB07">
            <w:pPr>
              <w:suppressAutoHyphens w:val="0"/>
              <w:ind w:right="-1"/>
              <w:rPr>
                <w:sz w:val="28"/>
                <w:szCs w:val="28"/>
                <w:lang w:val="en-GB"/>
              </w:rPr>
            </w:pPr>
            <w:r>
              <w:rPr>
                <w:sz w:val="28"/>
                <w:szCs w:val="28"/>
                <w:lang w:val="en-GB"/>
              </w:rPr>
              <w:t>Mechanism for starting your own business</w:t>
            </w:r>
          </w:p>
        </w:tc>
        <w:tc>
          <w:tcPr>
            <w:tcW w:w="567"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6774BA2E">
            <w:pPr>
              <w:suppressAutoHyphens w:val="0"/>
              <w:ind w:right="-1"/>
              <w:jc w:val="center"/>
              <w:rPr>
                <w:sz w:val="28"/>
                <w:szCs w:val="28"/>
                <w:lang w:val="en-GB"/>
              </w:rPr>
            </w:pPr>
            <w:r>
              <w:rPr>
                <w:sz w:val="28"/>
                <w:szCs w:val="28"/>
                <w:lang w:val="en-GB"/>
              </w:rPr>
              <w:t xml:space="preserve"> 2</w:t>
            </w:r>
          </w:p>
        </w:tc>
        <w:tc>
          <w:tcPr>
            <w:tcW w:w="567"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04177139">
            <w:pPr>
              <w:suppressAutoHyphens w:val="0"/>
              <w:ind w:right="-1"/>
              <w:jc w:val="center"/>
              <w:rPr>
                <w:sz w:val="28"/>
                <w:szCs w:val="28"/>
                <w:lang w:val="en-GB"/>
              </w:rPr>
            </w:pPr>
            <w:r>
              <w:rPr>
                <w:sz w:val="28"/>
                <w:szCs w:val="28"/>
                <w:lang w:val="en-GB"/>
              </w:rPr>
              <w:t xml:space="preserve"> 2</w:t>
            </w:r>
          </w:p>
        </w:tc>
        <w:tc>
          <w:tcPr>
            <w:tcW w:w="709"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125F4A83">
            <w:pPr>
              <w:suppressAutoHyphens w:val="0"/>
              <w:ind w:right="-1"/>
              <w:jc w:val="center"/>
              <w:rPr>
                <w:sz w:val="28"/>
                <w:szCs w:val="28"/>
                <w:lang w:val="en-GB"/>
              </w:rPr>
            </w:pPr>
            <w:r>
              <w:rPr>
                <w:sz w:val="28"/>
                <w:szCs w:val="28"/>
                <w:lang w:val="en-GB"/>
              </w:rPr>
              <w:t>6</w:t>
            </w:r>
          </w:p>
        </w:tc>
        <w:tc>
          <w:tcPr>
            <w:tcW w:w="2693"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6CBA3CE8">
            <w:pPr>
              <w:suppressAutoHyphens w:val="0"/>
              <w:ind w:right="-1"/>
              <w:rPr>
                <w:sz w:val="24"/>
                <w:szCs w:val="28"/>
                <w:lang w:val="en-GB"/>
              </w:rPr>
            </w:pPr>
            <w:r>
              <w:rPr>
                <w:sz w:val="24"/>
                <w:szCs w:val="28"/>
                <w:lang w:val="en-GB"/>
              </w:rPr>
              <w:t>Process modelling, brainstorming</w:t>
            </w:r>
          </w:p>
        </w:tc>
        <w:tc>
          <w:tcPr>
            <w:tcW w:w="1701"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3FBF8EC3">
            <w:pPr>
              <w:suppressAutoHyphens w:val="0"/>
              <w:ind w:right="-1"/>
              <w:rPr>
                <w:sz w:val="24"/>
                <w:szCs w:val="28"/>
                <w:lang w:val="en-GB"/>
              </w:rPr>
            </w:pPr>
            <w:r>
              <w:rPr>
                <w:sz w:val="24"/>
                <w:szCs w:val="28"/>
                <w:lang w:val="en-GB"/>
              </w:rPr>
              <w:t>Model defence (oral), individual process map</w:t>
            </w:r>
          </w:p>
        </w:tc>
      </w:tr>
      <w:tr w14:paraId="75E19201">
        <w:tblPrEx>
          <w:tblCellMar>
            <w:top w:w="0" w:type="dxa"/>
            <w:left w:w="0" w:type="dxa"/>
            <w:bottom w:w="0" w:type="dxa"/>
            <w:right w:w="0" w:type="dxa"/>
          </w:tblCellMar>
        </w:tblPrEx>
        <w:trPr>
          <w:trHeight w:val="558" w:hRule="atLeast"/>
        </w:trPr>
        <w:tc>
          <w:tcPr>
            <w:tcW w:w="439"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5E3469F6">
            <w:pPr>
              <w:suppressAutoHyphens w:val="0"/>
              <w:ind w:right="-1"/>
              <w:rPr>
                <w:sz w:val="28"/>
                <w:szCs w:val="28"/>
                <w:lang w:val="en-GB"/>
              </w:rPr>
            </w:pPr>
            <w:r>
              <w:rPr>
                <w:sz w:val="28"/>
                <w:szCs w:val="28"/>
                <w:lang w:val="en-GB"/>
              </w:rPr>
              <w:t>9</w:t>
            </w:r>
          </w:p>
        </w:tc>
        <w:tc>
          <w:tcPr>
            <w:tcW w:w="3036"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1BD1D89D">
            <w:pPr>
              <w:suppressAutoHyphens w:val="0"/>
              <w:ind w:right="-1"/>
              <w:rPr>
                <w:sz w:val="28"/>
                <w:szCs w:val="28"/>
                <w:lang w:val="en-GB"/>
              </w:rPr>
            </w:pPr>
            <w:r>
              <w:rPr>
                <w:sz w:val="28"/>
                <w:szCs w:val="28"/>
                <w:lang w:val="en-GB"/>
              </w:rPr>
              <w:t>Business planning in entrepreneurial activity</w:t>
            </w:r>
          </w:p>
        </w:tc>
        <w:tc>
          <w:tcPr>
            <w:tcW w:w="567"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5C6FB522">
            <w:pPr>
              <w:suppressAutoHyphens w:val="0"/>
              <w:ind w:right="-1"/>
              <w:jc w:val="center"/>
              <w:rPr>
                <w:sz w:val="28"/>
                <w:szCs w:val="28"/>
                <w:lang w:val="en-GB"/>
              </w:rPr>
            </w:pPr>
            <w:r>
              <w:rPr>
                <w:sz w:val="28"/>
                <w:szCs w:val="28"/>
                <w:lang w:val="en-GB"/>
              </w:rPr>
              <w:t xml:space="preserve"> 2</w:t>
            </w:r>
          </w:p>
        </w:tc>
        <w:tc>
          <w:tcPr>
            <w:tcW w:w="567"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4484B8BC">
            <w:pPr>
              <w:suppressAutoHyphens w:val="0"/>
              <w:ind w:right="-1"/>
              <w:jc w:val="center"/>
              <w:rPr>
                <w:sz w:val="28"/>
                <w:szCs w:val="28"/>
                <w:lang w:val="en-GB"/>
              </w:rPr>
            </w:pPr>
            <w:r>
              <w:rPr>
                <w:sz w:val="28"/>
                <w:szCs w:val="28"/>
                <w:lang w:val="en-GB"/>
              </w:rPr>
              <w:t>1</w:t>
            </w:r>
          </w:p>
        </w:tc>
        <w:tc>
          <w:tcPr>
            <w:tcW w:w="709"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32AFE6E7">
            <w:pPr>
              <w:suppressAutoHyphens w:val="0"/>
              <w:ind w:right="-1"/>
              <w:jc w:val="center"/>
              <w:rPr>
                <w:sz w:val="28"/>
                <w:szCs w:val="28"/>
                <w:lang w:val="en-GB"/>
              </w:rPr>
            </w:pPr>
            <w:r>
              <w:rPr>
                <w:sz w:val="28"/>
                <w:szCs w:val="28"/>
                <w:lang w:val="en-GB"/>
              </w:rPr>
              <w:t>6</w:t>
            </w:r>
          </w:p>
        </w:tc>
        <w:tc>
          <w:tcPr>
            <w:tcW w:w="2693"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213A0742">
            <w:pPr>
              <w:suppressAutoHyphens w:val="0"/>
              <w:ind w:right="-1"/>
              <w:rPr>
                <w:sz w:val="24"/>
                <w:szCs w:val="28"/>
                <w:lang w:val="en-GB"/>
              </w:rPr>
            </w:pPr>
            <w:r>
              <w:rPr>
                <w:sz w:val="24"/>
                <w:szCs w:val="28"/>
                <w:lang w:val="en-GB"/>
              </w:rPr>
              <w:t>Teamwork on a business plan, mini-training</w:t>
            </w:r>
          </w:p>
        </w:tc>
        <w:tc>
          <w:tcPr>
            <w:tcW w:w="1701"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4A353290">
            <w:pPr>
              <w:suppressAutoHyphens w:val="0"/>
              <w:ind w:right="-1"/>
              <w:rPr>
                <w:sz w:val="24"/>
                <w:szCs w:val="28"/>
                <w:lang w:val="en-GB"/>
              </w:rPr>
            </w:pPr>
            <w:r>
              <w:rPr>
                <w:sz w:val="24"/>
                <w:szCs w:val="28"/>
                <w:lang w:val="en-GB"/>
              </w:rPr>
              <w:t>Defence of the business plan, self-assessment of participation</w:t>
            </w:r>
          </w:p>
        </w:tc>
      </w:tr>
      <w:tr w14:paraId="2C28F71C">
        <w:tblPrEx>
          <w:tblCellMar>
            <w:top w:w="0" w:type="dxa"/>
            <w:left w:w="0" w:type="dxa"/>
            <w:bottom w:w="0" w:type="dxa"/>
            <w:right w:w="0" w:type="dxa"/>
          </w:tblCellMar>
        </w:tblPrEx>
        <w:trPr>
          <w:trHeight w:val="558" w:hRule="atLeast"/>
        </w:trPr>
        <w:tc>
          <w:tcPr>
            <w:tcW w:w="439"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385A3304">
            <w:pPr>
              <w:suppressAutoHyphens w:val="0"/>
              <w:ind w:right="-1"/>
              <w:rPr>
                <w:sz w:val="28"/>
                <w:szCs w:val="28"/>
                <w:lang w:val="en-GB"/>
              </w:rPr>
            </w:pPr>
            <w:r>
              <w:rPr>
                <w:sz w:val="28"/>
                <w:szCs w:val="28"/>
                <w:lang w:val="en-GB"/>
              </w:rPr>
              <w:t>10</w:t>
            </w:r>
          </w:p>
        </w:tc>
        <w:tc>
          <w:tcPr>
            <w:tcW w:w="3036"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7763E3A9">
            <w:pPr>
              <w:suppressAutoHyphens w:val="0"/>
              <w:ind w:right="-1"/>
              <w:rPr>
                <w:sz w:val="28"/>
                <w:szCs w:val="28"/>
                <w:lang w:val="en-GB"/>
              </w:rPr>
            </w:pPr>
            <w:r>
              <w:rPr>
                <w:sz w:val="28"/>
                <w:szCs w:val="28"/>
                <w:lang w:val="en-GB"/>
              </w:rPr>
              <w:t>Financing and taxation of entrepreneurship</w:t>
            </w:r>
          </w:p>
        </w:tc>
        <w:tc>
          <w:tcPr>
            <w:tcW w:w="567"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4E21C7F9">
            <w:pPr>
              <w:suppressAutoHyphens w:val="0"/>
              <w:ind w:right="-1"/>
              <w:jc w:val="center"/>
              <w:rPr>
                <w:sz w:val="28"/>
                <w:szCs w:val="28"/>
                <w:lang w:val="en-GB"/>
              </w:rPr>
            </w:pPr>
            <w:r>
              <w:rPr>
                <w:sz w:val="28"/>
                <w:szCs w:val="28"/>
                <w:lang w:val="en-GB"/>
              </w:rPr>
              <w:t xml:space="preserve"> 2</w:t>
            </w:r>
          </w:p>
        </w:tc>
        <w:tc>
          <w:tcPr>
            <w:tcW w:w="567"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010185C9">
            <w:pPr>
              <w:suppressAutoHyphens w:val="0"/>
              <w:ind w:right="-1"/>
              <w:jc w:val="center"/>
              <w:rPr>
                <w:sz w:val="28"/>
                <w:szCs w:val="28"/>
                <w:lang w:val="en-GB"/>
              </w:rPr>
            </w:pPr>
            <w:r>
              <w:rPr>
                <w:sz w:val="28"/>
                <w:szCs w:val="28"/>
                <w:lang w:val="en-GB"/>
              </w:rPr>
              <w:t xml:space="preserve"> 1</w:t>
            </w:r>
          </w:p>
        </w:tc>
        <w:tc>
          <w:tcPr>
            <w:tcW w:w="709"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327619D5">
            <w:pPr>
              <w:suppressAutoHyphens w:val="0"/>
              <w:ind w:right="-1"/>
              <w:jc w:val="center"/>
              <w:rPr>
                <w:sz w:val="28"/>
                <w:szCs w:val="28"/>
                <w:lang w:val="en-GB"/>
              </w:rPr>
            </w:pPr>
            <w:r>
              <w:rPr>
                <w:sz w:val="28"/>
                <w:szCs w:val="28"/>
                <w:lang w:val="en-GB"/>
              </w:rPr>
              <w:t>6</w:t>
            </w:r>
          </w:p>
        </w:tc>
        <w:tc>
          <w:tcPr>
            <w:tcW w:w="2693"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77C9C17D">
            <w:pPr>
              <w:suppressAutoHyphens w:val="0"/>
              <w:ind w:right="-1"/>
              <w:rPr>
                <w:sz w:val="24"/>
                <w:szCs w:val="28"/>
                <w:lang w:val="en-GB"/>
              </w:rPr>
            </w:pPr>
            <w:r>
              <w:rPr>
                <w:sz w:val="24"/>
                <w:szCs w:val="28"/>
                <w:lang w:val="en-GB"/>
              </w:rPr>
              <w:t>Analysis of real cases, problem solving</w:t>
            </w:r>
          </w:p>
        </w:tc>
        <w:tc>
          <w:tcPr>
            <w:tcW w:w="1701"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1210DE33">
            <w:pPr>
              <w:suppressAutoHyphens w:val="0"/>
              <w:ind w:right="-1"/>
              <w:rPr>
                <w:sz w:val="24"/>
                <w:szCs w:val="28"/>
                <w:lang w:val="en-GB"/>
              </w:rPr>
            </w:pPr>
            <w:r>
              <w:rPr>
                <w:sz w:val="24"/>
                <w:szCs w:val="28"/>
                <w:lang w:val="en-GB"/>
              </w:rPr>
              <w:t>Test, calculation task</w:t>
            </w:r>
          </w:p>
        </w:tc>
      </w:tr>
      <w:tr w14:paraId="12354D7A">
        <w:tblPrEx>
          <w:tblCellMar>
            <w:top w:w="0" w:type="dxa"/>
            <w:left w:w="0" w:type="dxa"/>
            <w:bottom w:w="0" w:type="dxa"/>
            <w:right w:w="0" w:type="dxa"/>
          </w:tblCellMar>
        </w:tblPrEx>
        <w:trPr>
          <w:trHeight w:val="558" w:hRule="atLeast"/>
        </w:trPr>
        <w:tc>
          <w:tcPr>
            <w:tcW w:w="439"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51A90FF2">
            <w:pPr>
              <w:suppressAutoHyphens w:val="0"/>
              <w:ind w:right="-1"/>
              <w:rPr>
                <w:sz w:val="28"/>
                <w:szCs w:val="28"/>
                <w:lang w:val="en-GB"/>
              </w:rPr>
            </w:pPr>
            <w:r>
              <w:rPr>
                <w:sz w:val="28"/>
                <w:szCs w:val="28"/>
                <w:lang w:val="en-GB"/>
              </w:rPr>
              <w:t>11</w:t>
            </w:r>
          </w:p>
        </w:tc>
        <w:tc>
          <w:tcPr>
            <w:tcW w:w="3036"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5DD599AB">
            <w:pPr>
              <w:suppressAutoHyphens w:val="0"/>
              <w:ind w:right="-1"/>
              <w:rPr>
                <w:sz w:val="28"/>
                <w:szCs w:val="28"/>
                <w:lang w:val="en-GB"/>
              </w:rPr>
            </w:pPr>
            <w:r>
              <w:rPr>
                <w:sz w:val="28"/>
                <w:szCs w:val="28"/>
                <w:lang w:val="en-GB"/>
              </w:rPr>
              <w:t>Ethical and social responsibility of entrepreneurship</w:t>
            </w:r>
          </w:p>
        </w:tc>
        <w:tc>
          <w:tcPr>
            <w:tcW w:w="567"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66751E65">
            <w:pPr>
              <w:suppressAutoHyphens w:val="0"/>
              <w:ind w:right="-1"/>
              <w:jc w:val="center"/>
              <w:rPr>
                <w:sz w:val="28"/>
                <w:szCs w:val="28"/>
                <w:lang w:val="en-GB"/>
              </w:rPr>
            </w:pPr>
            <w:r>
              <w:rPr>
                <w:sz w:val="28"/>
                <w:szCs w:val="28"/>
                <w:lang w:val="en-GB"/>
              </w:rPr>
              <w:t xml:space="preserve"> 2</w:t>
            </w:r>
          </w:p>
        </w:tc>
        <w:tc>
          <w:tcPr>
            <w:tcW w:w="567"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361BEA66">
            <w:pPr>
              <w:suppressAutoHyphens w:val="0"/>
              <w:ind w:right="-1"/>
              <w:jc w:val="center"/>
              <w:rPr>
                <w:sz w:val="28"/>
                <w:szCs w:val="28"/>
                <w:lang w:val="en-GB"/>
              </w:rPr>
            </w:pPr>
            <w:r>
              <w:rPr>
                <w:sz w:val="28"/>
                <w:szCs w:val="28"/>
                <w:lang w:val="en-GB"/>
              </w:rPr>
              <w:t>1</w:t>
            </w:r>
          </w:p>
        </w:tc>
        <w:tc>
          <w:tcPr>
            <w:tcW w:w="709"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67FC1F7F">
            <w:pPr>
              <w:suppressAutoHyphens w:val="0"/>
              <w:ind w:right="-1"/>
              <w:jc w:val="center"/>
              <w:rPr>
                <w:sz w:val="28"/>
                <w:szCs w:val="28"/>
                <w:lang w:val="en-GB"/>
              </w:rPr>
            </w:pPr>
            <w:r>
              <w:rPr>
                <w:sz w:val="28"/>
                <w:szCs w:val="28"/>
                <w:lang w:val="en-GB"/>
              </w:rPr>
              <w:t>6</w:t>
            </w:r>
          </w:p>
        </w:tc>
        <w:tc>
          <w:tcPr>
            <w:tcW w:w="2693"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4E51402D">
            <w:pPr>
              <w:suppressAutoHyphens w:val="0"/>
              <w:ind w:right="-1"/>
              <w:rPr>
                <w:sz w:val="24"/>
                <w:szCs w:val="28"/>
                <w:lang w:val="en-GB"/>
              </w:rPr>
            </w:pPr>
            <w:r>
              <w:rPr>
                <w:sz w:val="24"/>
                <w:szCs w:val="28"/>
                <w:lang w:val="en-GB"/>
              </w:rPr>
              <w:t>Discussion, video viewing, case analysis</w:t>
            </w:r>
          </w:p>
        </w:tc>
        <w:tc>
          <w:tcPr>
            <w:tcW w:w="1701"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1E17CD8D">
            <w:pPr>
              <w:suppressAutoHyphens w:val="0"/>
              <w:ind w:right="-1"/>
              <w:rPr>
                <w:sz w:val="24"/>
                <w:szCs w:val="28"/>
                <w:lang w:val="en-GB"/>
              </w:rPr>
            </w:pPr>
            <w:r>
              <w:rPr>
                <w:sz w:val="24"/>
                <w:szCs w:val="28"/>
                <w:lang w:val="en-GB"/>
              </w:rPr>
              <w:t>Essay, discussion of situations</w:t>
            </w:r>
          </w:p>
        </w:tc>
      </w:tr>
      <w:tr w14:paraId="5C61D92E">
        <w:tblPrEx>
          <w:tblCellMar>
            <w:top w:w="0" w:type="dxa"/>
            <w:left w:w="0" w:type="dxa"/>
            <w:bottom w:w="0" w:type="dxa"/>
            <w:right w:w="0" w:type="dxa"/>
          </w:tblCellMar>
        </w:tblPrEx>
        <w:trPr>
          <w:trHeight w:val="558" w:hRule="atLeast"/>
        </w:trPr>
        <w:tc>
          <w:tcPr>
            <w:tcW w:w="439"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7626A6FC">
            <w:pPr>
              <w:suppressAutoHyphens w:val="0"/>
              <w:ind w:right="-1"/>
              <w:rPr>
                <w:sz w:val="28"/>
                <w:szCs w:val="28"/>
                <w:lang w:val="en-GB"/>
              </w:rPr>
            </w:pPr>
            <w:r>
              <w:rPr>
                <w:sz w:val="28"/>
                <w:szCs w:val="28"/>
                <w:lang w:val="en-GB"/>
              </w:rPr>
              <w:t>12</w:t>
            </w:r>
          </w:p>
        </w:tc>
        <w:tc>
          <w:tcPr>
            <w:tcW w:w="3036"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43E0FB92">
            <w:pPr>
              <w:suppressAutoHyphens w:val="0"/>
              <w:ind w:right="-1"/>
              <w:rPr>
                <w:sz w:val="28"/>
                <w:szCs w:val="28"/>
                <w:lang w:val="en-GB"/>
              </w:rPr>
            </w:pPr>
            <w:r>
              <w:rPr>
                <w:sz w:val="28"/>
                <w:szCs w:val="28"/>
                <w:lang w:val="en-GB"/>
              </w:rPr>
              <w:t>Entrepreneurial risks</w:t>
            </w:r>
          </w:p>
        </w:tc>
        <w:tc>
          <w:tcPr>
            <w:tcW w:w="567"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291FEAC7">
            <w:pPr>
              <w:suppressAutoHyphens w:val="0"/>
              <w:ind w:right="-1"/>
              <w:jc w:val="center"/>
              <w:rPr>
                <w:sz w:val="28"/>
                <w:szCs w:val="28"/>
                <w:lang w:val="en-GB"/>
              </w:rPr>
            </w:pPr>
            <w:r>
              <w:rPr>
                <w:sz w:val="28"/>
                <w:szCs w:val="28"/>
                <w:lang w:val="en-GB"/>
              </w:rPr>
              <w:t xml:space="preserve"> 2</w:t>
            </w:r>
          </w:p>
        </w:tc>
        <w:tc>
          <w:tcPr>
            <w:tcW w:w="567"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487EACDC">
            <w:pPr>
              <w:suppressAutoHyphens w:val="0"/>
              <w:ind w:right="-1"/>
              <w:jc w:val="center"/>
              <w:rPr>
                <w:sz w:val="28"/>
                <w:szCs w:val="28"/>
                <w:lang w:val="en-GB"/>
              </w:rPr>
            </w:pPr>
            <w:r>
              <w:rPr>
                <w:sz w:val="28"/>
                <w:szCs w:val="28"/>
                <w:lang w:val="en-GB"/>
              </w:rPr>
              <w:t xml:space="preserve"> 1</w:t>
            </w:r>
          </w:p>
        </w:tc>
        <w:tc>
          <w:tcPr>
            <w:tcW w:w="709"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3EBA4239">
            <w:pPr>
              <w:suppressAutoHyphens w:val="0"/>
              <w:ind w:right="-1"/>
              <w:jc w:val="center"/>
              <w:rPr>
                <w:sz w:val="28"/>
                <w:szCs w:val="28"/>
                <w:lang w:val="en-GB"/>
              </w:rPr>
            </w:pPr>
            <w:r>
              <w:rPr>
                <w:sz w:val="28"/>
                <w:szCs w:val="28"/>
                <w:lang w:val="en-GB"/>
              </w:rPr>
              <w:t>6</w:t>
            </w:r>
          </w:p>
        </w:tc>
        <w:tc>
          <w:tcPr>
            <w:tcW w:w="2693"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0A8B576E">
            <w:pPr>
              <w:suppressAutoHyphens w:val="0"/>
              <w:ind w:right="-1"/>
              <w:rPr>
                <w:sz w:val="24"/>
                <w:szCs w:val="28"/>
                <w:lang w:val="en-GB"/>
              </w:rPr>
            </w:pPr>
            <w:r>
              <w:rPr>
                <w:sz w:val="24"/>
                <w:szCs w:val="28"/>
                <w:lang w:val="en-GB"/>
              </w:rPr>
              <w:t>Working with risk scenarios, group modelling</w:t>
            </w:r>
          </w:p>
        </w:tc>
        <w:tc>
          <w:tcPr>
            <w:tcW w:w="1701"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1EA5DED2">
            <w:pPr>
              <w:suppressAutoHyphens w:val="0"/>
              <w:ind w:right="-1"/>
              <w:rPr>
                <w:sz w:val="24"/>
                <w:szCs w:val="28"/>
                <w:lang w:val="en-GB"/>
              </w:rPr>
            </w:pPr>
            <w:r>
              <w:rPr>
                <w:sz w:val="24"/>
                <w:szCs w:val="28"/>
                <w:lang w:val="en-GB"/>
              </w:rPr>
              <w:t>Oral presentation of solutions, evaluation of options</w:t>
            </w:r>
          </w:p>
        </w:tc>
      </w:tr>
      <w:tr w14:paraId="750889C2">
        <w:tblPrEx>
          <w:tblCellMar>
            <w:top w:w="0" w:type="dxa"/>
            <w:left w:w="0" w:type="dxa"/>
            <w:bottom w:w="0" w:type="dxa"/>
            <w:right w:w="0" w:type="dxa"/>
          </w:tblCellMar>
        </w:tblPrEx>
        <w:trPr>
          <w:trHeight w:val="307" w:hRule="atLeast"/>
        </w:trPr>
        <w:tc>
          <w:tcPr>
            <w:tcW w:w="9712" w:type="dxa"/>
            <w:gridSpan w:val="7"/>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14:paraId="65728295">
            <w:pPr>
              <w:suppressAutoHyphens w:val="0"/>
              <w:ind w:right="-1"/>
              <w:jc w:val="center"/>
              <w:rPr>
                <w:sz w:val="28"/>
                <w:szCs w:val="28"/>
                <w:lang w:val="en-GB"/>
              </w:rPr>
            </w:pPr>
            <w:bookmarkStart w:id="0" w:name="_Hlk215652716"/>
            <w:r>
              <w:rPr>
                <w:b/>
                <w:bCs/>
                <w:sz w:val="28"/>
                <w:szCs w:val="28"/>
                <w:lang w:val="en-GB"/>
              </w:rPr>
              <w:t>Module Assessment Task</w:t>
            </w:r>
            <w:bookmarkEnd w:id="0"/>
          </w:p>
        </w:tc>
      </w:tr>
      <w:tr w14:paraId="6F37561F">
        <w:tblPrEx>
          <w:tblCellMar>
            <w:top w:w="0" w:type="dxa"/>
            <w:left w:w="0" w:type="dxa"/>
            <w:bottom w:w="0" w:type="dxa"/>
            <w:right w:w="0" w:type="dxa"/>
          </w:tblCellMar>
        </w:tblPrEx>
        <w:trPr>
          <w:trHeight w:val="341" w:hRule="atLeast"/>
        </w:trPr>
        <w:tc>
          <w:tcPr>
            <w:tcW w:w="3475" w:type="dxa"/>
            <w:gridSpan w:val="2"/>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vAlign w:val="bottom"/>
          </w:tcPr>
          <w:p w14:paraId="0B7D718B">
            <w:pPr>
              <w:suppressAutoHyphens w:val="0"/>
              <w:ind w:right="-1"/>
              <w:rPr>
                <w:b/>
                <w:sz w:val="28"/>
                <w:szCs w:val="28"/>
                <w:lang w:val="en-GB"/>
              </w:rPr>
            </w:pPr>
            <w:r>
              <w:rPr>
                <w:b/>
                <w:sz w:val="28"/>
                <w:szCs w:val="28"/>
                <w:lang w:val="en-GB"/>
              </w:rPr>
              <w:t xml:space="preserve">Total </w:t>
            </w:r>
          </w:p>
        </w:tc>
        <w:tc>
          <w:tcPr>
            <w:tcW w:w="567"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vAlign w:val="bottom"/>
          </w:tcPr>
          <w:p w14:paraId="66798D67">
            <w:pPr>
              <w:suppressAutoHyphens w:val="0"/>
              <w:ind w:right="-1"/>
              <w:jc w:val="center"/>
              <w:rPr>
                <w:b/>
                <w:sz w:val="28"/>
                <w:szCs w:val="28"/>
                <w:lang w:val="en-GB"/>
              </w:rPr>
            </w:pPr>
            <w:r>
              <w:rPr>
                <w:rFonts w:hint="default"/>
                <w:b/>
                <w:sz w:val="28"/>
                <w:szCs w:val="28"/>
                <w:lang w:val="uk-UA"/>
              </w:rPr>
              <w:t>3</w:t>
            </w:r>
            <w:r>
              <w:rPr>
                <w:b/>
                <w:sz w:val="28"/>
                <w:szCs w:val="28"/>
                <w:lang w:val="en-GB"/>
              </w:rPr>
              <w:t>0</w:t>
            </w:r>
          </w:p>
        </w:tc>
        <w:tc>
          <w:tcPr>
            <w:tcW w:w="567"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vAlign w:val="bottom"/>
          </w:tcPr>
          <w:p w14:paraId="60329330">
            <w:pPr>
              <w:suppressAutoHyphens w:val="0"/>
              <w:ind w:right="-1"/>
              <w:jc w:val="center"/>
              <w:rPr>
                <w:b/>
                <w:sz w:val="28"/>
                <w:szCs w:val="28"/>
                <w:lang w:val="en-GB"/>
              </w:rPr>
            </w:pPr>
            <w:r>
              <w:rPr>
                <w:b/>
                <w:sz w:val="28"/>
                <w:szCs w:val="28"/>
                <w:lang w:val="en-GB"/>
              </w:rPr>
              <w:t>18</w:t>
            </w:r>
          </w:p>
        </w:tc>
        <w:tc>
          <w:tcPr>
            <w:tcW w:w="709"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vAlign w:val="bottom"/>
          </w:tcPr>
          <w:p w14:paraId="0F45926D">
            <w:pPr>
              <w:suppressAutoHyphens w:val="0"/>
              <w:ind w:right="-1"/>
              <w:jc w:val="center"/>
              <w:rPr>
                <w:b/>
                <w:sz w:val="28"/>
                <w:szCs w:val="28"/>
                <w:lang w:val="en-GB"/>
              </w:rPr>
            </w:pPr>
            <w:r>
              <w:rPr>
                <w:b/>
                <w:sz w:val="28"/>
                <w:szCs w:val="28"/>
                <w:lang w:val="en-GB"/>
              </w:rPr>
              <w:t>72</w:t>
            </w:r>
          </w:p>
        </w:tc>
        <w:tc>
          <w:tcPr>
            <w:tcW w:w="2693"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vAlign w:val="bottom"/>
          </w:tcPr>
          <w:p w14:paraId="7B0F07FB">
            <w:pPr>
              <w:suppressAutoHyphens w:val="0"/>
              <w:ind w:right="-1"/>
              <w:rPr>
                <w:sz w:val="28"/>
                <w:szCs w:val="28"/>
                <w:lang w:val="en-GB"/>
              </w:rPr>
            </w:pPr>
            <w:r>
              <w:rPr>
                <w:sz w:val="28"/>
                <w:szCs w:val="28"/>
                <w:lang w:val="en-GB"/>
              </w:rPr>
              <w:t xml:space="preserve"> </w:t>
            </w:r>
          </w:p>
        </w:tc>
        <w:tc>
          <w:tcPr>
            <w:tcW w:w="1701"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vAlign w:val="bottom"/>
          </w:tcPr>
          <w:p w14:paraId="0AB224B8">
            <w:pPr>
              <w:suppressAutoHyphens w:val="0"/>
              <w:ind w:right="-1"/>
              <w:rPr>
                <w:sz w:val="28"/>
                <w:szCs w:val="28"/>
                <w:lang w:val="en-GB"/>
              </w:rPr>
            </w:pPr>
            <w:r>
              <w:rPr>
                <w:sz w:val="28"/>
                <w:szCs w:val="28"/>
                <w:lang w:val="en-GB"/>
              </w:rPr>
              <w:t xml:space="preserve"> </w:t>
            </w:r>
          </w:p>
        </w:tc>
      </w:tr>
      <w:tr w14:paraId="39D20055">
        <w:tblPrEx>
          <w:tblCellMar>
            <w:top w:w="0" w:type="dxa"/>
            <w:left w:w="0" w:type="dxa"/>
            <w:bottom w:w="0" w:type="dxa"/>
            <w:right w:w="0" w:type="dxa"/>
          </w:tblCellMar>
        </w:tblPrEx>
        <w:trPr>
          <w:trHeight w:val="242" w:hRule="atLeast"/>
        </w:trPr>
        <w:tc>
          <w:tcPr>
            <w:tcW w:w="9712" w:type="dxa"/>
            <w:gridSpan w:val="7"/>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vAlign w:val="bottom"/>
          </w:tcPr>
          <w:p w14:paraId="3D53257D">
            <w:pPr>
              <w:suppressAutoHyphens w:val="0"/>
              <w:ind w:right="-1"/>
              <w:jc w:val="center"/>
              <w:rPr>
                <w:sz w:val="28"/>
                <w:szCs w:val="28"/>
                <w:lang w:val="en-GB"/>
              </w:rPr>
            </w:pPr>
            <w:r>
              <w:rPr>
                <w:rFonts w:eastAsia="Calibri"/>
                <w:b/>
                <w:bCs/>
                <w:sz w:val="28"/>
                <w:szCs w:val="28"/>
                <w:lang w:val="uk-UA"/>
              </w:rPr>
              <w:t xml:space="preserve">Final </w:t>
            </w:r>
            <w:r>
              <w:rPr>
                <w:rFonts w:eastAsia="Calibri"/>
                <w:b/>
                <w:bCs/>
                <w:sz w:val="28"/>
                <w:szCs w:val="28"/>
                <w:lang w:val="en-US"/>
              </w:rPr>
              <w:t>assessment</w:t>
            </w:r>
            <w:r>
              <w:rPr>
                <w:b/>
                <w:bCs/>
                <w:sz w:val="28"/>
                <w:szCs w:val="28"/>
                <w:lang w:val="en-GB"/>
              </w:rPr>
              <w:t>: exam</w:t>
            </w:r>
          </w:p>
        </w:tc>
      </w:tr>
    </w:tbl>
    <w:p w14:paraId="328F46FA">
      <w:pPr>
        <w:widowControl w:val="0"/>
        <w:ind w:right="-1"/>
        <w:jc w:val="both"/>
        <w:rPr>
          <w:b/>
          <w:sz w:val="28"/>
          <w:szCs w:val="28"/>
          <w:lang w:val="en-GB"/>
        </w:rPr>
      </w:pPr>
    </w:p>
    <w:p w14:paraId="7294637E">
      <w:pPr>
        <w:pBdr>
          <w:top w:val="none" w:color="auto" w:sz="0" w:space="0"/>
          <w:left w:val="none" w:color="auto" w:sz="0" w:space="0"/>
          <w:bottom w:val="none" w:color="auto" w:sz="0" w:space="0"/>
          <w:right w:val="none" w:color="auto" w:sz="0" w:space="0"/>
          <w:between w:val="none" w:color="auto" w:sz="0" w:space="0"/>
        </w:pBdr>
        <w:ind w:firstLine="720"/>
        <w:jc w:val="both"/>
        <w:rPr>
          <w:color w:val="000000"/>
          <w:sz w:val="28"/>
          <w:szCs w:val="28"/>
          <w:lang w:val="en-US"/>
        </w:rPr>
      </w:pPr>
      <w:r>
        <w:rPr>
          <w:b/>
          <w:bCs/>
          <w:color w:val="000000"/>
          <w:sz w:val="28"/>
          <w:szCs w:val="28"/>
          <w:lang w:val="en-US"/>
        </w:rPr>
        <w:t>Technical equipment and/or software</w:t>
      </w:r>
      <w:r>
        <w:rPr>
          <w:color w:val="000000"/>
          <w:sz w:val="28"/>
          <w:szCs w:val="28"/>
          <w:lang w:val="en-US"/>
        </w:rPr>
        <w:t xml:space="preserve"> – official website of </w:t>
      </w:r>
      <w:r>
        <w:rPr>
          <w:sz w:val="28"/>
          <w:szCs w:val="28"/>
          <w:lang w:val="en-US"/>
        </w:rPr>
        <w:t>IAPM</w:t>
      </w:r>
      <w:r>
        <w:rPr>
          <w:color w:val="000000"/>
          <w:sz w:val="28"/>
          <w:szCs w:val="28"/>
          <w:lang w:val="en-US"/>
        </w:rPr>
        <w:t>:</w:t>
      </w:r>
    </w:p>
    <w:p w14:paraId="41B9C4BF">
      <w:pPr>
        <w:pBdr>
          <w:top w:val="none" w:color="auto" w:sz="0" w:space="0"/>
          <w:left w:val="none" w:color="auto" w:sz="0" w:space="0"/>
          <w:bottom w:val="none" w:color="auto" w:sz="0" w:space="0"/>
          <w:right w:val="none" w:color="auto" w:sz="0" w:space="0"/>
          <w:between w:val="none" w:color="auto" w:sz="0" w:space="0"/>
        </w:pBdr>
        <w:ind w:firstLine="720"/>
        <w:jc w:val="both"/>
        <w:rPr>
          <w:color w:val="000000"/>
          <w:sz w:val="28"/>
          <w:szCs w:val="28"/>
          <w:lang w:val="en-US"/>
        </w:rPr>
      </w:pPr>
      <w:r>
        <w:rPr>
          <w:color w:val="000000"/>
          <w:sz w:val="28"/>
          <w:szCs w:val="28"/>
          <w:lang w:val="en-US"/>
        </w:rPr>
        <w:t>http://</w:t>
      </w:r>
      <w:r>
        <w:rPr>
          <w:sz w:val="28"/>
          <w:szCs w:val="28"/>
          <w:lang w:val="en-US"/>
        </w:rPr>
        <w:t>IAPM</w:t>
      </w:r>
      <w:r>
        <w:rPr>
          <w:color w:val="000000"/>
          <w:sz w:val="28"/>
          <w:szCs w:val="28"/>
          <w:lang w:val="en-US"/>
        </w:rPr>
        <w:t>.com.ua The educational process involves the use of classrooms, a library, a multimedia projector, and a computer for conducting lectures and seminars with presentation elements. Studying individual topics and completing practical tasks requires access to internet resources, which is provided through a free Wi-Fi network.</w:t>
      </w:r>
    </w:p>
    <w:p w14:paraId="0EBDA37D">
      <w:pPr>
        <w:pBdr>
          <w:top w:val="none" w:color="auto" w:sz="0" w:space="0"/>
          <w:left w:val="none" w:color="auto" w:sz="0" w:space="0"/>
          <w:bottom w:val="none" w:color="auto" w:sz="0" w:space="0"/>
          <w:right w:val="none" w:color="auto" w:sz="0" w:space="0"/>
          <w:between w:val="none" w:color="auto" w:sz="0" w:space="0"/>
        </w:pBdr>
        <w:ind w:firstLine="720"/>
        <w:jc w:val="both"/>
        <w:rPr>
          <w:color w:val="000000"/>
          <w:sz w:val="28"/>
          <w:szCs w:val="28"/>
          <w:lang w:val="en-US"/>
        </w:rPr>
      </w:pPr>
    </w:p>
    <w:p w14:paraId="1C35AC8F">
      <w:pPr>
        <w:pBdr>
          <w:top w:val="none" w:color="auto" w:sz="0" w:space="0"/>
          <w:left w:val="none" w:color="auto" w:sz="0" w:space="0"/>
          <w:bottom w:val="none" w:color="auto" w:sz="0" w:space="0"/>
          <w:right w:val="none" w:color="auto" w:sz="0" w:space="0"/>
          <w:between w:val="none" w:color="auto" w:sz="0" w:space="0"/>
        </w:pBdr>
        <w:ind w:firstLine="720"/>
        <w:jc w:val="both"/>
        <w:rPr>
          <w:b/>
          <w:bCs/>
          <w:color w:val="000000"/>
          <w:sz w:val="28"/>
          <w:szCs w:val="28"/>
          <w:lang w:val="en-US"/>
        </w:rPr>
      </w:pPr>
      <w:r>
        <w:rPr>
          <w:b/>
          <w:bCs/>
          <w:color w:val="000000"/>
          <w:sz w:val="28"/>
          <w:szCs w:val="28"/>
          <w:lang w:val="en-US"/>
        </w:rPr>
        <w:t>Forms and methods of assessment.</w:t>
      </w:r>
    </w:p>
    <w:p w14:paraId="52299BA0">
      <w:pPr>
        <w:pBdr>
          <w:top w:val="none" w:color="auto" w:sz="0" w:space="0"/>
          <w:left w:val="none" w:color="auto" w:sz="0" w:space="0"/>
          <w:bottom w:val="none" w:color="auto" w:sz="0" w:space="0"/>
          <w:right w:val="none" w:color="auto" w:sz="0" w:space="0"/>
          <w:between w:val="none" w:color="auto" w:sz="0" w:space="0"/>
        </w:pBdr>
        <w:ind w:firstLine="720"/>
        <w:jc w:val="both"/>
        <w:rPr>
          <w:color w:val="000000"/>
          <w:sz w:val="28"/>
          <w:szCs w:val="28"/>
          <w:lang w:val="en-US"/>
        </w:rPr>
      </w:pPr>
      <w:r>
        <w:rPr>
          <w:color w:val="000000"/>
          <w:sz w:val="28"/>
          <w:szCs w:val="28"/>
          <w:lang w:val="en-US"/>
        </w:rPr>
        <w:t>Assessment of students’ academic performance is divided into ongoing and final (semester) assessment.</w:t>
      </w:r>
    </w:p>
    <w:p w14:paraId="21443360">
      <w:pPr>
        <w:pBdr>
          <w:top w:val="none" w:color="auto" w:sz="0" w:space="0"/>
          <w:left w:val="none" w:color="auto" w:sz="0" w:space="0"/>
          <w:bottom w:val="none" w:color="auto" w:sz="0" w:space="0"/>
          <w:right w:val="none" w:color="auto" w:sz="0" w:space="0"/>
          <w:between w:val="none" w:color="auto" w:sz="0" w:space="0"/>
        </w:pBdr>
        <w:ind w:firstLine="720"/>
        <w:jc w:val="both"/>
        <w:rPr>
          <w:color w:val="000000"/>
          <w:sz w:val="28"/>
          <w:szCs w:val="28"/>
          <w:lang w:val="en-US"/>
        </w:rPr>
      </w:pPr>
      <w:r>
        <w:rPr>
          <w:color w:val="000000"/>
          <w:sz w:val="28"/>
          <w:szCs w:val="28"/>
          <w:lang w:val="en-US"/>
        </w:rPr>
        <w:t>Ongoing assessment is conducted during practical (seminar) classes and is aimed at systematically checking the understanding and assimilation of theoretical material, as well as the ability to apply theoretical knowledge when completing practical tasks. The possibilities of ongoing assessment are extensive: it can support learning motivation, stimulate educational and cognitive activity, enable a differentiated approach to teaching, and ensure individualization of the learning process.</w:t>
      </w:r>
    </w:p>
    <w:p w14:paraId="5073B314">
      <w:pPr>
        <w:pBdr>
          <w:top w:val="none" w:color="auto" w:sz="0" w:space="0"/>
          <w:left w:val="none" w:color="auto" w:sz="0" w:space="0"/>
          <w:bottom w:val="none" w:color="auto" w:sz="0" w:space="0"/>
          <w:right w:val="none" w:color="auto" w:sz="0" w:space="0"/>
          <w:between w:val="none" w:color="auto" w:sz="0" w:space="0"/>
        </w:pBdr>
        <w:ind w:firstLine="720"/>
        <w:jc w:val="both"/>
        <w:rPr>
          <w:color w:val="000000"/>
          <w:sz w:val="28"/>
          <w:szCs w:val="28"/>
          <w:lang w:val="en-US"/>
        </w:rPr>
      </w:pPr>
      <w:r>
        <w:rPr>
          <w:color w:val="000000"/>
          <w:sz w:val="28"/>
          <w:szCs w:val="28"/>
          <w:lang w:val="en-US"/>
        </w:rPr>
        <w:t>Forms of student participation in the educational process subject to ongoing assessment include:</w:t>
      </w:r>
    </w:p>
    <w:p w14:paraId="01A9F1DE">
      <w:pPr>
        <w:pStyle w:val="54"/>
        <w:numPr>
          <w:ilvl w:val="0"/>
          <w:numId w:val="3"/>
        </w:num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oral reports;</w:t>
      </w:r>
    </w:p>
    <w:p w14:paraId="6FB07ED4">
      <w:pPr>
        <w:pStyle w:val="54"/>
        <w:numPr>
          <w:ilvl w:val="0"/>
          <w:numId w:val="3"/>
        </w:num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comments and questions to the speaker;</w:t>
      </w:r>
    </w:p>
    <w:p w14:paraId="60FE7929">
      <w:pPr>
        <w:pStyle w:val="54"/>
        <w:numPr>
          <w:ilvl w:val="0"/>
          <w:numId w:val="3"/>
        </w:num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consistent performance in seminar classes and active participation in discussions;</w:t>
      </w:r>
    </w:p>
    <w:p w14:paraId="1D7AFFB9">
      <w:pPr>
        <w:pStyle w:val="54"/>
        <w:numPr>
          <w:ilvl w:val="0"/>
          <w:numId w:val="3"/>
        </w:num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participation in debates and interactive learning activities;</w:t>
      </w:r>
    </w:p>
    <w:p w14:paraId="12B13048">
      <w:pPr>
        <w:pStyle w:val="54"/>
        <w:numPr>
          <w:ilvl w:val="0"/>
          <w:numId w:val="3"/>
        </w:num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analysis of legislation and academic literature;</w:t>
      </w:r>
    </w:p>
    <w:p w14:paraId="3295E5FE">
      <w:pPr>
        <w:pStyle w:val="54"/>
        <w:numPr>
          <w:ilvl w:val="0"/>
          <w:numId w:val="3"/>
        </w:num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written assignments (tests, quizzes, creative tasks, essays, etc.);</w:t>
      </w:r>
    </w:p>
    <w:p w14:paraId="3BA4FEB7">
      <w:pPr>
        <w:pStyle w:val="54"/>
        <w:numPr>
          <w:ilvl w:val="0"/>
          <w:numId w:val="3"/>
        </w:num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preparation of theses and summaries of academic or scientific texts;</w:t>
      </w:r>
    </w:p>
    <w:p w14:paraId="43CC8A39">
      <w:pPr>
        <w:pStyle w:val="54"/>
        <w:numPr>
          <w:ilvl w:val="0"/>
          <w:numId w:val="3"/>
        </w:num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independent study of course topics.</w:t>
      </w:r>
    </w:p>
    <w:p w14:paraId="18DF7B16">
      <w:pPr>
        <w:pStyle w:val="56"/>
        <w:ind w:firstLine="720"/>
        <w:jc w:val="both"/>
        <w:rPr>
          <w:rFonts w:ascii="Times New Roman" w:hAnsi="Times New Roman"/>
          <w:sz w:val="28"/>
          <w:szCs w:val="28"/>
          <w:lang w:val="en-GB"/>
        </w:rPr>
      </w:pPr>
    </w:p>
    <w:p w14:paraId="5081AE51">
      <w:pPr>
        <w:pBdr>
          <w:top w:val="none" w:color="auto" w:sz="0" w:space="0"/>
          <w:left w:val="none" w:color="auto" w:sz="0" w:space="0"/>
          <w:bottom w:val="none" w:color="auto" w:sz="0" w:space="0"/>
          <w:right w:val="none" w:color="auto" w:sz="0" w:space="0"/>
          <w:between w:val="none" w:color="auto" w:sz="0" w:space="0"/>
        </w:pBdr>
        <w:ind w:firstLine="720"/>
        <w:jc w:val="both"/>
        <w:rPr>
          <w:color w:val="000000"/>
          <w:sz w:val="28"/>
          <w:szCs w:val="28"/>
          <w:lang w:val="en-US"/>
        </w:rPr>
      </w:pPr>
      <w:r>
        <w:rPr>
          <w:b/>
          <w:bCs/>
          <w:color w:val="000000"/>
          <w:sz w:val="28"/>
          <w:szCs w:val="28"/>
          <w:lang w:val="en-US"/>
        </w:rPr>
        <w:t xml:space="preserve">Methods of ongoing assessment include: </w:t>
      </w:r>
      <w:r>
        <w:rPr>
          <w:color w:val="000000"/>
          <w:sz w:val="28"/>
          <w:szCs w:val="28"/>
          <w:lang w:val="en-US"/>
        </w:rPr>
        <w:t>oral assessment (interview, discussion, report, presentation, etc.); written assessment (tests, essays, written presentations on assigned topics, etc.); combined assessment; presentation of independent work; observation as a method of assessment;</w:t>
      </w:r>
      <w:r>
        <w:rPr>
          <w:color w:val="000000"/>
          <w:sz w:val="28"/>
          <w:szCs w:val="28"/>
          <w:lang w:val="en-US"/>
        </w:rPr>
        <w:tab/>
      </w:r>
      <w:r>
        <w:rPr>
          <w:color w:val="000000"/>
          <w:sz w:val="28"/>
          <w:szCs w:val="28"/>
          <w:lang w:val="en-US"/>
        </w:rPr>
        <w:t>testing; analysis of problem situations.</w:t>
      </w:r>
    </w:p>
    <w:p w14:paraId="1A094387">
      <w:pPr>
        <w:pStyle w:val="56"/>
        <w:ind w:firstLine="720"/>
        <w:jc w:val="both"/>
        <w:rPr>
          <w:rFonts w:ascii="Times New Roman" w:hAnsi="Times New Roman"/>
          <w:sz w:val="28"/>
          <w:szCs w:val="28"/>
          <w:lang w:val="en-GB"/>
        </w:rPr>
      </w:pPr>
    </w:p>
    <w:p w14:paraId="70704D4F">
      <w:pPr>
        <w:pBdr>
          <w:top w:val="none" w:color="auto" w:sz="0" w:space="0"/>
          <w:left w:val="none" w:color="auto" w:sz="0" w:space="0"/>
          <w:bottom w:val="none" w:color="auto" w:sz="0" w:space="0"/>
          <w:right w:val="none" w:color="auto" w:sz="0" w:space="0"/>
          <w:between w:val="none" w:color="auto" w:sz="0" w:space="0"/>
        </w:pBdr>
        <w:ind w:firstLine="720"/>
        <w:jc w:val="center"/>
        <w:rPr>
          <w:color w:val="000000"/>
          <w:sz w:val="28"/>
          <w:szCs w:val="28"/>
          <w:lang w:val="en-US"/>
        </w:rPr>
      </w:pPr>
      <w:r>
        <w:rPr>
          <w:color w:val="000000"/>
          <w:sz w:val="28"/>
          <w:szCs w:val="28"/>
          <w:lang w:val="en-US"/>
        </w:rPr>
        <w:t>Grading system and requirements.</w:t>
      </w:r>
    </w:p>
    <w:p w14:paraId="1F52C38A">
      <w:pPr>
        <w:pBdr>
          <w:top w:val="none" w:color="auto" w:sz="0" w:space="0"/>
          <w:left w:val="none" w:color="auto" w:sz="0" w:space="0"/>
          <w:bottom w:val="none" w:color="auto" w:sz="0" w:space="0"/>
          <w:right w:val="none" w:color="auto" w:sz="0" w:space="0"/>
          <w:between w:val="none" w:color="auto" w:sz="0" w:space="0"/>
        </w:pBdr>
        <w:ind w:firstLine="720"/>
        <w:jc w:val="center"/>
        <w:rPr>
          <w:color w:val="000000"/>
          <w:sz w:val="28"/>
          <w:szCs w:val="28"/>
          <w:lang w:val="en-US"/>
        </w:rPr>
      </w:pPr>
      <w:r>
        <w:rPr>
          <w:color w:val="000000"/>
          <w:sz w:val="28"/>
          <w:szCs w:val="28"/>
          <w:lang w:val="en-US"/>
        </w:rPr>
        <w:t>Table of distribution of points received by students</w:t>
      </w:r>
    </w:p>
    <w:p w14:paraId="59EB44A4">
      <w:pPr>
        <w:widowControl w:val="0"/>
        <w:ind w:right="-1"/>
        <w:jc w:val="center"/>
        <w:rPr>
          <w:b/>
          <w:bCs/>
          <w:sz w:val="28"/>
          <w:szCs w:val="28"/>
          <w:lang w:val="en-GB"/>
        </w:rPr>
      </w:pPr>
    </w:p>
    <w:tbl>
      <w:tblPr>
        <w:tblStyle w:val="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66"/>
        <w:gridCol w:w="536"/>
        <w:gridCol w:w="413"/>
        <w:gridCol w:w="413"/>
        <w:gridCol w:w="413"/>
        <w:gridCol w:w="413"/>
        <w:gridCol w:w="413"/>
        <w:gridCol w:w="413"/>
        <w:gridCol w:w="413"/>
        <w:gridCol w:w="413"/>
        <w:gridCol w:w="413"/>
        <w:gridCol w:w="413"/>
        <w:gridCol w:w="413"/>
        <w:gridCol w:w="1254"/>
        <w:gridCol w:w="743"/>
        <w:gridCol w:w="961"/>
      </w:tblGrid>
      <w:tr w14:paraId="7A569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 w:hRule="atLeast"/>
        </w:trPr>
        <w:tc>
          <w:tcPr>
            <w:tcW w:w="1567" w:type="dxa"/>
            <w:tcMar>
              <w:top w:w="30" w:type="dxa"/>
              <w:left w:w="45" w:type="dxa"/>
              <w:bottom w:w="30" w:type="dxa"/>
              <w:right w:w="45" w:type="dxa"/>
            </w:tcMar>
            <w:vAlign w:val="bottom"/>
          </w:tcPr>
          <w:p w14:paraId="31B525B0">
            <w:pPr>
              <w:widowControl w:val="0"/>
              <w:suppressAutoHyphens w:val="0"/>
              <w:ind w:right="-1"/>
              <w:rPr>
                <w:sz w:val="28"/>
                <w:szCs w:val="28"/>
                <w:lang w:val="en-GB"/>
              </w:rPr>
            </w:pPr>
          </w:p>
        </w:tc>
        <w:tc>
          <w:tcPr>
            <w:tcW w:w="5128" w:type="dxa"/>
            <w:gridSpan w:val="12"/>
            <w:tcMar>
              <w:top w:w="30" w:type="dxa"/>
              <w:left w:w="45" w:type="dxa"/>
              <w:bottom w:w="30" w:type="dxa"/>
              <w:right w:w="45" w:type="dxa"/>
            </w:tcMar>
            <w:vAlign w:val="center"/>
          </w:tcPr>
          <w:p w14:paraId="7DBCBD17">
            <w:pPr>
              <w:widowControl w:val="0"/>
              <w:suppressAutoHyphens w:val="0"/>
              <w:ind w:right="-1"/>
              <w:jc w:val="center"/>
              <w:rPr>
                <w:sz w:val="28"/>
                <w:szCs w:val="28"/>
                <w:lang w:val="en-GB"/>
              </w:rPr>
            </w:pPr>
            <w:r>
              <w:rPr>
                <w:sz w:val="28"/>
                <w:szCs w:val="28"/>
                <w:lang w:val="en-GB"/>
              </w:rPr>
              <w:t>Ongoing knowledge assessment</w:t>
            </w:r>
          </w:p>
        </w:tc>
        <w:tc>
          <w:tcPr>
            <w:tcW w:w="1220" w:type="dxa"/>
            <w:vMerge w:val="restart"/>
            <w:vAlign w:val="center"/>
          </w:tcPr>
          <w:p w14:paraId="0D73B02D">
            <w:pPr>
              <w:widowControl w:val="0"/>
              <w:ind w:right="-1"/>
              <w:jc w:val="center"/>
              <w:rPr>
                <w:sz w:val="28"/>
                <w:szCs w:val="28"/>
                <w:lang w:val="en-GB"/>
              </w:rPr>
            </w:pPr>
            <w:r>
              <w:rPr>
                <w:sz w:val="28"/>
                <w:szCs w:val="28"/>
                <w:lang w:val="en-GB"/>
              </w:rPr>
              <w:t>Modular assessment task</w:t>
            </w:r>
          </w:p>
        </w:tc>
        <w:tc>
          <w:tcPr>
            <w:tcW w:w="0" w:type="auto"/>
            <w:vMerge w:val="restart"/>
            <w:tcMar>
              <w:top w:w="30" w:type="dxa"/>
              <w:left w:w="45" w:type="dxa"/>
              <w:bottom w:w="30" w:type="dxa"/>
              <w:right w:w="45" w:type="dxa"/>
            </w:tcMar>
            <w:vAlign w:val="center"/>
          </w:tcPr>
          <w:p w14:paraId="129DAF31">
            <w:pPr>
              <w:pStyle w:val="50"/>
              <w:ind w:right="-1"/>
              <w:jc w:val="center"/>
              <w:rPr>
                <w:sz w:val="28"/>
                <w:szCs w:val="28"/>
                <w:lang w:val="en-US"/>
              </w:rPr>
            </w:pPr>
            <w:r>
              <w:rPr>
                <w:sz w:val="28"/>
                <w:szCs w:val="28"/>
                <w:lang w:val="en-US"/>
              </w:rPr>
              <w:t>Exam</w:t>
            </w:r>
          </w:p>
          <w:p w14:paraId="2A3A5CA8">
            <w:pPr>
              <w:widowControl w:val="0"/>
              <w:suppressAutoHyphens w:val="0"/>
              <w:ind w:right="-1"/>
              <w:jc w:val="center"/>
              <w:rPr>
                <w:sz w:val="28"/>
                <w:szCs w:val="28"/>
                <w:lang w:val="en-GB"/>
              </w:rPr>
            </w:pPr>
          </w:p>
        </w:tc>
        <w:tc>
          <w:tcPr>
            <w:tcW w:w="0" w:type="auto"/>
            <w:vMerge w:val="restart"/>
            <w:tcMar>
              <w:top w:w="30" w:type="dxa"/>
              <w:left w:w="45" w:type="dxa"/>
              <w:bottom w:w="30" w:type="dxa"/>
              <w:right w:w="45" w:type="dxa"/>
            </w:tcMar>
            <w:vAlign w:val="center"/>
          </w:tcPr>
          <w:p w14:paraId="1C015640">
            <w:pPr>
              <w:widowControl w:val="0"/>
              <w:suppressAutoHyphens w:val="0"/>
              <w:ind w:right="-1"/>
              <w:jc w:val="center"/>
              <w:rPr>
                <w:sz w:val="28"/>
                <w:szCs w:val="28"/>
                <w:lang w:val="en-GB"/>
              </w:rPr>
            </w:pPr>
            <w:r>
              <w:rPr>
                <w:sz w:val="28"/>
                <w:szCs w:val="28"/>
                <w:lang w:val="en-GB"/>
              </w:rPr>
              <w:t>Total points</w:t>
            </w:r>
          </w:p>
        </w:tc>
      </w:tr>
      <w:tr w14:paraId="7772B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17" w:hRule="atLeast"/>
        </w:trPr>
        <w:tc>
          <w:tcPr>
            <w:tcW w:w="1567" w:type="dxa"/>
            <w:tcMar>
              <w:top w:w="30" w:type="dxa"/>
              <w:left w:w="45" w:type="dxa"/>
              <w:bottom w:w="30" w:type="dxa"/>
              <w:right w:w="45" w:type="dxa"/>
            </w:tcMar>
            <w:vAlign w:val="center"/>
          </w:tcPr>
          <w:p w14:paraId="67155EBA">
            <w:pPr>
              <w:widowControl w:val="0"/>
              <w:suppressAutoHyphens w:val="0"/>
              <w:ind w:right="-1"/>
              <w:jc w:val="center"/>
              <w:rPr>
                <w:sz w:val="28"/>
                <w:szCs w:val="28"/>
                <w:lang w:val="en-GB"/>
              </w:rPr>
            </w:pPr>
            <w:r>
              <w:rPr>
                <w:sz w:val="28"/>
                <w:szCs w:val="28"/>
                <w:lang w:val="en-GB"/>
              </w:rPr>
              <w:t>Topics</w:t>
            </w:r>
          </w:p>
        </w:tc>
        <w:tc>
          <w:tcPr>
            <w:tcW w:w="530" w:type="dxa"/>
            <w:tcMar>
              <w:top w:w="30" w:type="dxa"/>
              <w:left w:w="45" w:type="dxa"/>
              <w:bottom w:w="30" w:type="dxa"/>
              <w:right w:w="45" w:type="dxa"/>
            </w:tcMar>
            <w:textDirection w:val="btLr"/>
            <w:vAlign w:val="center"/>
          </w:tcPr>
          <w:p w14:paraId="39E00493">
            <w:pPr>
              <w:widowControl w:val="0"/>
              <w:suppressAutoHyphens w:val="0"/>
              <w:ind w:right="-1"/>
              <w:jc w:val="center"/>
              <w:rPr>
                <w:sz w:val="28"/>
                <w:szCs w:val="28"/>
                <w:lang w:val="en-GB"/>
              </w:rPr>
            </w:pPr>
            <w:r>
              <w:rPr>
                <w:sz w:val="28"/>
                <w:szCs w:val="28"/>
                <w:lang w:val="en-GB"/>
              </w:rPr>
              <w:t>Topic 1</w:t>
            </w:r>
          </w:p>
        </w:tc>
        <w:tc>
          <w:tcPr>
            <w:tcW w:w="0" w:type="auto"/>
            <w:tcMar>
              <w:top w:w="30" w:type="dxa"/>
              <w:left w:w="45" w:type="dxa"/>
              <w:bottom w:w="30" w:type="dxa"/>
              <w:right w:w="45" w:type="dxa"/>
            </w:tcMar>
            <w:textDirection w:val="btLr"/>
            <w:vAlign w:val="center"/>
          </w:tcPr>
          <w:p w14:paraId="621C50AB">
            <w:pPr>
              <w:widowControl w:val="0"/>
              <w:suppressAutoHyphens w:val="0"/>
              <w:ind w:right="-1"/>
              <w:jc w:val="center"/>
              <w:rPr>
                <w:sz w:val="28"/>
                <w:szCs w:val="28"/>
                <w:lang w:val="en-GB"/>
              </w:rPr>
            </w:pPr>
            <w:r>
              <w:rPr>
                <w:sz w:val="28"/>
                <w:szCs w:val="28"/>
                <w:lang w:val="en-GB"/>
              </w:rPr>
              <w:t>Topic 2</w:t>
            </w:r>
          </w:p>
        </w:tc>
        <w:tc>
          <w:tcPr>
            <w:tcW w:w="0" w:type="auto"/>
            <w:tcMar>
              <w:top w:w="30" w:type="dxa"/>
              <w:left w:w="45" w:type="dxa"/>
              <w:bottom w:w="30" w:type="dxa"/>
              <w:right w:w="45" w:type="dxa"/>
            </w:tcMar>
            <w:textDirection w:val="btLr"/>
            <w:vAlign w:val="center"/>
          </w:tcPr>
          <w:p w14:paraId="734FA515">
            <w:pPr>
              <w:widowControl w:val="0"/>
              <w:suppressAutoHyphens w:val="0"/>
              <w:ind w:right="-1"/>
              <w:jc w:val="center"/>
              <w:rPr>
                <w:sz w:val="28"/>
                <w:szCs w:val="28"/>
                <w:lang w:val="en-GB"/>
              </w:rPr>
            </w:pPr>
            <w:r>
              <w:rPr>
                <w:sz w:val="28"/>
                <w:szCs w:val="28"/>
                <w:lang w:val="en-GB"/>
              </w:rPr>
              <w:t>Topic 3</w:t>
            </w:r>
          </w:p>
        </w:tc>
        <w:tc>
          <w:tcPr>
            <w:tcW w:w="0" w:type="auto"/>
            <w:tcMar>
              <w:top w:w="30" w:type="dxa"/>
              <w:left w:w="45" w:type="dxa"/>
              <w:bottom w:w="30" w:type="dxa"/>
              <w:right w:w="45" w:type="dxa"/>
            </w:tcMar>
            <w:textDirection w:val="btLr"/>
            <w:vAlign w:val="center"/>
          </w:tcPr>
          <w:p w14:paraId="517D0539">
            <w:pPr>
              <w:widowControl w:val="0"/>
              <w:suppressAutoHyphens w:val="0"/>
              <w:ind w:right="-1"/>
              <w:jc w:val="center"/>
              <w:rPr>
                <w:sz w:val="28"/>
                <w:szCs w:val="28"/>
                <w:lang w:val="en-GB"/>
              </w:rPr>
            </w:pPr>
            <w:r>
              <w:rPr>
                <w:sz w:val="28"/>
                <w:szCs w:val="28"/>
                <w:lang w:val="en-GB"/>
              </w:rPr>
              <w:t>Topic 4</w:t>
            </w:r>
          </w:p>
        </w:tc>
        <w:tc>
          <w:tcPr>
            <w:tcW w:w="0" w:type="auto"/>
            <w:tcMar>
              <w:top w:w="30" w:type="dxa"/>
              <w:left w:w="45" w:type="dxa"/>
              <w:bottom w:w="30" w:type="dxa"/>
              <w:right w:w="45" w:type="dxa"/>
            </w:tcMar>
            <w:textDirection w:val="btLr"/>
            <w:vAlign w:val="center"/>
          </w:tcPr>
          <w:p w14:paraId="443E3971">
            <w:pPr>
              <w:widowControl w:val="0"/>
              <w:suppressAutoHyphens w:val="0"/>
              <w:ind w:right="-1"/>
              <w:jc w:val="center"/>
              <w:rPr>
                <w:sz w:val="28"/>
                <w:szCs w:val="28"/>
                <w:lang w:val="en-GB"/>
              </w:rPr>
            </w:pPr>
            <w:r>
              <w:rPr>
                <w:sz w:val="28"/>
                <w:szCs w:val="28"/>
                <w:lang w:val="en-GB"/>
              </w:rPr>
              <w:t>Topic 5</w:t>
            </w:r>
          </w:p>
        </w:tc>
        <w:tc>
          <w:tcPr>
            <w:tcW w:w="0" w:type="auto"/>
            <w:tcMar>
              <w:top w:w="30" w:type="dxa"/>
              <w:left w:w="45" w:type="dxa"/>
              <w:bottom w:w="30" w:type="dxa"/>
              <w:right w:w="45" w:type="dxa"/>
            </w:tcMar>
            <w:textDirection w:val="btLr"/>
            <w:vAlign w:val="center"/>
          </w:tcPr>
          <w:p w14:paraId="222E86CF">
            <w:pPr>
              <w:widowControl w:val="0"/>
              <w:suppressAutoHyphens w:val="0"/>
              <w:ind w:right="-1"/>
              <w:jc w:val="center"/>
              <w:rPr>
                <w:sz w:val="28"/>
                <w:szCs w:val="28"/>
                <w:lang w:val="en-GB"/>
              </w:rPr>
            </w:pPr>
            <w:r>
              <w:rPr>
                <w:sz w:val="28"/>
                <w:szCs w:val="28"/>
                <w:lang w:val="en-GB"/>
              </w:rPr>
              <w:t>Topic 6</w:t>
            </w:r>
          </w:p>
        </w:tc>
        <w:tc>
          <w:tcPr>
            <w:tcW w:w="0" w:type="auto"/>
            <w:tcMar>
              <w:top w:w="30" w:type="dxa"/>
              <w:left w:w="45" w:type="dxa"/>
              <w:bottom w:w="30" w:type="dxa"/>
              <w:right w:w="45" w:type="dxa"/>
            </w:tcMar>
            <w:textDirection w:val="btLr"/>
            <w:vAlign w:val="center"/>
          </w:tcPr>
          <w:p w14:paraId="6DF6761C">
            <w:pPr>
              <w:widowControl w:val="0"/>
              <w:suppressAutoHyphens w:val="0"/>
              <w:ind w:right="-1"/>
              <w:jc w:val="center"/>
              <w:rPr>
                <w:sz w:val="28"/>
                <w:szCs w:val="28"/>
                <w:lang w:val="en-GB"/>
              </w:rPr>
            </w:pPr>
            <w:r>
              <w:rPr>
                <w:sz w:val="28"/>
                <w:szCs w:val="28"/>
                <w:lang w:val="en-GB"/>
              </w:rPr>
              <w:t>Topic 7</w:t>
            </w:r>
          </w:p>
        </w:tc>
        <w:tc>
          <w:tcPr>
            <w:tcW w:w="0" w:type="auto"/>
            <w:tcMar>
              <w:top w:w="30" w:type="dxa"/>
              <w:left w:w="45" w:type="dxa"/>
              <w:bottom w:w="30" w:type="dxa"/>
              <w:right w:w="45" w:type="dxa"/>
            </w:tcMar>
            <w:textDirection w:val="btLr"/>
            <w:vAlign w:val="center"/>
          </w:tcPr>
          <w:p w14:paraId="231DF1E1">
            <w:pPr>
              <w:widowControl w:val="0"/>
              <w:suppressAutoHyphens w:val="0"/>
              <w:ind w:right="-1"/>
              <w:jc w:val="center"/>
              <w:rPr>
                <w:sz w:val="28"/>
                <w:szCs w:val="28"/>
                <w:lang w:val="en-GB"/>
              </w:rPr>
            </w:pPr>
            <w:r>
              <w:rPr>
                <w:sz w:val="28"/>
                <w:szCs w:val="28"/>
                <w:lang w:val="en-GB"/>
              </w:rPr>
              <w:t>Topic 8</w:t>
            </w:r>
          </w:p>
        </w:tc>
        <w:tc>
          <w:tcPr>
            <w:tcW w:w="0" w:type="auto"/>
            <w:tcMar>
              <w:top w:w="30" w:type="dxa"/>
              <w:left w:w="45" w:type="dxa"/>
              <w:bottom w:w="30" w:type="dxa"/>
              <w:right w:w="45" w:type="dxa"/>
            </w:tcMar>
            <w:textDirection w:val="btLr"/>
            <w:vAlign w:val="center"/>
          </w:tcPr>
          <w:p w14:paraId="4ED5192F">
            <w:pPr>
              <w:widowControl w:val="0"/>
              <w:suppressAutoHyphens w:val="0"/>
              <w:ind w:right="-1"/>
              <w:jc w:val="center"/>
              <w:rPr>
                <w:sz w:val="28"/>
                <w:szCs w:val="28"/>
                <w:lang w:val="en-GB"/>
              </w:rPr>
            </w:pPr>
            <w:r>
              <w:rPr>
                <w:sz w:val="28"/>
                <w:szCs w:val="28"/>
                <w:lang w:val="en-GB"/>
              </w:rPr>
              <w:t>Topic 9</w:t>
            </w:r>
          </w:p>
        </w:tc>
        <w:tc>
          <w:tcPr>
            <w:tcW w:w="0" w:type="auto"/>
            <w:tcMar>
              <w:top w:w="30" w:type="dxa"/>
              <w:left w:w="45" w:type="dxa"/>
              <w:bottom w:w="30" w:type="dxa"/>
              <w:right w:w="45" w:type="dxa"/>
            </w:tcMar>
            <w:textDirection w:val="btLr"/>
            <w:vAlign w:val="center"/>
          </w:tcPr>
          <w:p w14:paraId="6033EEBF">
            <w:pPr>
              <w:widowControl w:val="0"/>
              <w:suppressAutoHyphens w:val="0"/>
              <w:ind w:right="-1"/>
              <w:jc w:val="center"/>
              <w:rPr>
                <w:sz w:val="28"/>
                <w:szCs w:val="28"/>
                <w:lang w:val="en-GB"/>
              </w:rPr>
            </w:pPr>
            <w:r>
              <w:rPr>
                <w:sz w:val="28"/>
                <w:szCs w:val="28"/>
                <w:lang w:val="en-GB"/>
              </w:rPr>
              <w:t>Topic 10</w:t>
            </w:r>
          </w:p>
        </w:tc>
        <w:tc>
          <w:tcPr>
            <w:tcW w:w="0" w:type="auto"/>
            <w:tcMar>
              <w:top w:w="30" w:type="dxa"/>
              <w:left w:w="45" w:type="dxa"/>
              <w:bottom w:w="30" w:type="dxa"/>
              <w:right w:w="45" w:type="dxa"/>
            </w:tcMar>
            <w:textDirection w:val="btLr"/>
            <w:vAlign w:val="center"/>
          </w:tcPr>
          <w:p w14:paraId="435B0AF3">
            <w:pPr>
              <w:widowControl w:val="0"/>
              <w:suppressAutoHyphens w:val="0"/>
              <w:ind w:right="-1"/>
              <w:jc w:val="center"/>
              <w:rPr>
                <w:sz w:val="28"/>
                <w:szCs w:val="28"/>
                <w:lang w:val="en-GB"/>
              </w:rPr>
            </w:pPr>
            <w:r>
              <w:rPr>
                <w:sz w:val="28"/>
                <w:szCs w:val="28"/>
                <w:lang w:val="en-GB"/>
              </w:rPr>
              <w:t>Topic 11</w:t>
            </w:r>
          </w:p>
        </w:tc>
        <w:tc>
          <w:tcPr>
            <w:tcW w:w="0" w:type="auto"/>
            <w:tcMar>
              <w:top w:w="30" w:type="dxa"/>
              <w:left w:w="45" w:type="dxa"/>
              <w:bottom w:w="30" w:type="dxa"/>
              <w:right w:w="45" w:type="dxa"/>
            </w:tcMar>
            <w:textDirection w:val="btLr"/>
            <w:vAlign w:val="center"/>
          </w:tcPr>
          <w:p w14:paraId="16BFE5E5">
            <w:pPr>
              <w:widowControl w:val="0"/>
              <w:suppressAutoHyphens w:val="0"/>
              <w:ind w:right="-1"/>
              <w:jc w:val="center"/>
              <w:rPr>
                <w:sz w:val="28"/>
                <w:szCs w:val="28"/>
                <w:lang w:val="en-GB"/>
              </w:rPr>
            </w:pPr>
            <w:r>
              <w:rPr>
                <w:sz w:val="28"/>
                <w:szCs w:val="28"/>
                <w:lang w:val="en-GB"/>
              </w:rPr>
              <w:t>Topic 12</w:t>
            </w:r>
          </w:p>
        </w:tc>
        <w:tc>
          <w:tcPr>
            <w:tcW w:w="1220" w:type="dxa"/>
            <w:vMerge w:val="continue"/>
            <w:tcMar>
              <w:top w:w="30" w:type="dxa"/>
              <w:left w:w="45" w:type="dxa"/>
              <w:bottom w:w="30" w:type="dxa"/>
              <w:right w:w="45" w:type="dxa"/>
            </w:tcMar>
            <w:vAlign w:val="center"/>
          </w:tcPr>
          <w:p w14:paraId="5AE33EF5">
            <w:pPr>
              <w:widowControl w:val="0"/>
              <w:suppressAutoHyphens w:val="0"/>
              <w:ind w:right="-1"/>
              <w:jc w:val="center"/>
              <w:rPr>
                <w:sz w:val="28"/>
                <w:szCs w:val="28"/>
                <w:lang w:val="en-GB"/>
              </w:rPr>
            </w:pPr>
          </w:p>
        </w:tc>
        <w:tc>
          <w:tcPr>
            <w:tcW w:w="0" w:type="auto"/>
            <w:vMerge w:val="continue"/>
            <w:vAlign w:val="center"/>
          </w:tcPr>
          <w:p w14:paraId="5AF322C1">
            <w:pPr>
              <w:widowControl w:val="0"/>
              <w:suppressAutoHyphens w:val="0"/>
              <w:ind w:right="-1"/>
              <w:rPr>
                <w:sz w:val="28"/>
                <w:szCs w:val="28"/>
                <w:lang w:val="en-GB"/>
              </w:rPr>
            </w:pPr>
          </w:p>
        </w:tc>
        <w:tc>
          <w:tcPr>
            <w:tcW w:w="0" w:type="auto"/>
            <w:vMerge w:val="continue"/>
            <w:vAlign w:val="center"/>
          </w:tcPr>
          <w:p w14:paraId="3C893994">
            <w:pPr>
              <w:widowControl w:val="0"/>
              <w:suppressAutoHyphens w:val="0"/>
              <w:ind w:right="-1"/>
              <w:rPr>
                <w:sz w:val="28"/>
                <w:szCs w:val="28"/>
                <w:lang w:val="en-GB"/>
              </w:rPr>
            </w:pPr>
          </w:p>
        </w:tc>
      </w:tr>
      <w:tr w14:paraId="5DFD8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trPr>
        <w:tc>
          <w:tcPr>
            <w:tcW w:w="1567" w:type="dxa"/>
            <w:tcMar>
              <w:top w:w="30" w:type="dxa"/>
              <w:left w:w="45" w:type="dxa"/>
              <w:bottom w:w="30" w:type="dxa"/>
              <w:right w:w="45" w:type="dxa"/>
            </w:tcMar>
            <w:vAlign w:val="center"/>
          </w:tcPr>
          <w:p w14:paraId="07333E10">
            <w:pPr>
              <w:widowControl w:val="0"/>
              <w:suppressAutoHyphens w:val="0"/>
              <w:ind w:right="-1"/>
              <w:rPr>
                <w:sz w:val="28"/>
                <w:szCs w:val="28"/>
                <w:lang w:val="en-GB"/>
              </w:rPr>
            </w:pPr>
            <w:bookmarkStart w:id="1" w:name="_GoBack" w:colFirst="1" w:colLast="12"/>
            <w:r>
              <w:rPr>
                <w:sz w:val="28"/>
                <w:szCs w:val="28"/>
                <w:lang w:val="en-GB"/>
              </w:rPr>
              <w:t>Work in a seminar</w:t>
            </w:r>
          </w:p>
        </w:tc>
        <w:tc>
          <w:tcPr>
            <w:tcW w:w="530" w:type="dxa"/>
            <w:tcMar>
              <w:top w:w="30" w:type="dxa"/>
              <w:left w:w="45" w:type="dxa"/>
              <w:bottom w:w="30" w:type="dxa"/>
              <w:right w:w="45" w:type="dxa"/>
            </w:tcMar>
            <w:vAlign w:val="center"/>
          </w:tcPr>
          <w:p w14:paraId="53E0A0C9">
            <w:pPr>
              <w:widowControl w:val="0"/>
              <w:suppressAutoHyphens w:val="0"/>
              <w:ind w:right="-1"/>
              <w:jc w:val="center"/>
              <w:rPr>
                <w:sz w:val="28"/>
                <w:szCs w:val="28"/>
                <w:lang w:val="en-GB"/>
              </w:rPr>
            </w:pPr>
            <w:r>
              <w:rPr>
                <w:sz w:val="28"/>
                <w:szCs w:val="28"/>
                <w:lang w:val="en-GB"/>
              </w:rPr>
              <w:t>3</w:t>
            </w:r>
          </w:p>
        </w:tc>
        <w:tc>
          <w:tcPr>
            <w:tcW w:w="0" w:type="auto"/>
            <w:tcMar>
              <w:top w:w="30" w:type="dxa"/>
              <w:left w:w="45" w:type="dxa"/>
              <w:bottom w:w="30" w:type="dxa"/>
              <w:right w:w="45" w:type="dxa"/>
            </w:tcMar>
            <w:vAlign w:val="center"/>
          </w:tcPr>
          <w:p w14:paraId="6B8528F7">
            <w:pPr>
              <w:widowControl w:val="0"/>
              <w:suppressAutoHyphens w:val="0"/>
              <w:ind w:right="-1"/>
              <w:jc w:val="center"/>
              <w:rPr>
                <w:sz w:val="28"/>
                <w:szCs w:val="28"/>
                <w:lang w:val="en-GB"/>
              </w:rPr>
            </w:pPr>
            <w:r>
              <w:rPr>
                <w:sz w:val="28"/>
                <w:szCs w:val="28"/>
                <w:lang w:val="en-GB"/>
              </w:rPr>
              <w:t>2</w:t>
            </w:r>
          </w:p>
        </w:tc>
        <w:tc>
          <w:tcPr>
            <w:tcW w:w="0" w:type="auto"/>
            <w:tcMar>
              <w:top w:w="30" w:type="dxa"/>
              <w:left w:w="45" w:type="dxa"/>
              <w:bottom w:w="30" w:type="dxa"/>
              <w:right w:w="45" w:type="dxa"/>
            </w:tcMar>
            <w:vAlign w:val="center"/>
          </w:tcPr>
          <w:p w14:paraId="6E8185C9">
            <w:pPr>
              <w:widowControl w:val="0"/>
              <w:suppressAutoHyphens w:val="0"/>
              <w:ind w:right="-1"/>
              <w:jc w:val="center"/>
              <w:rPr>
                <w:sz w:val="28"/>
                <w:szCs w:val="28"/>
                <w:lang w:val="en-GB"/>
              </w:rPr>
            </w:pPr>
            <w:r>
              <w:rPr>
                <w:sz w:val="28"/>
                <w:szCs w:val="28"/>
                <w:lang w:val="en-GB"/>
              </w:rPr>
              <w:t>2</w:t>
            </w:r>
          </w:p>
        </w:tc>
        <w:tc>
          <w:tcPr>
            <w:tcW w:w="0" w:type="auto"/>
            <w:tcMar>
              <w:top w:w="30" w:type="dxa"/>
              <w:left w:w="45" w:type="dxa"/>
              <w:bottom w:w="30" w:type="dxa"/>
              <w:right w:w="45" w:type="dxa"/>
            </w:tcMar>
            <w:vAlign w:val="center"/>
          </w:tcPr>
          <w:p w14:paraId="79F66C2C">
            <w:pPr>
              <w:widowControl w:val="0"/>
              <w:suppressAutoHyphens w:val="0"/>
              <w:ind w:right="-1"/>
              <w:jc w:val="center"/>
              <w:rPr>
                <w:sz w:val="28"/>
                <w:szCs w:val="28"/>
                <w:lang w:val="en-GB"/>
              </w:rPr>
            </w:pPr>
            <w:r>
              <w:rPr>
                <w:sz w:val="28"/>
                <w:szCs w:val="28"/>
                <w:lang w:val="en-GB"/>
              </w:rPr>
              <w:t>3</w:t>
            </w:r>
          </w:p>
        </w:tc>
        <w:tc>
          <w:tcPr>
            <w:tcW w:w="0" w:type="auto"/>
            <w:tcMar>
              <w:top w:w="30" w:type="dxa"/>
              <w:left w:w="45" w:type="dxa"/>
              <w:bottom w:w="30" w:type="dxa"/>
              <w:right w:w="45" w:type="dxa"/>
            </w:tcMar>
            <w:vAlign w:val="center"/>
          </w:tcPr>
          <w:p w14:paraId="7DA0D36F">
            <w:pPr>
              <w:widowControl w:val="0"/>
              <w:suppressAutoHyphens w:val="0"/>
              <w:ind w:right="-1"/>
              <w:jc w:val="center"/>
              <w:rPr>
                <w:sz w:val="28"/>
                <w:szCs w:val="28"/>
                <w:lang w:val="en-GB"/>
              </w:rPr>
            </w:pPr>
            <w:r>
              <w:rPr>
                <w:sz w:val="28"/>
                <w:szCs w:val="28"/>
                <w:lang w:val="en-GB"/>
              </w:rPr>
              <w:t>2</w:t>
            </w:r>
          </w:p>
        </w:tc>
        <w:tc>
          <w:tcPr>
            <w:tcW w:w="0" w:type="auto"/>
            <w:tcMar>
              <w:top w:w="30" w:type="dxa"/>
              <w:left w:w="45" w:type="dxa"/>
              <w:bottom w:w="30" w:type="dxa"/>
              <w:right w:w="45" w:type="dxa"/>
            </w:tcMar>
            <w:vAlign w:val="center"/>
          </w:tcPr>
          <w:p w14:paraId="1DDC487B">
            <w:pPr>
              <w:widowControl w:val="0"/>
              <w:suppressAutoHyphens w:val="0"/>
              <w:ind w:right="-1"/>
              <w:jc w:val="center"/>
              <w:rPr>
                <w:sz w:val="28"/>
                <w:szCs w:val="28"/>
                <w:lang w:val="en-GB"/>
              </w:rPr>
            </w:pPr>
            <w:r>
              <w:rPr>
                <w:sz w:val="28"/>
                <w:szCs w:val="28"/>
                <w:lang w:val="en-GB"/>
              </w:rPr>
              <w:t>2</w:t>
            </w:r>
          </w:p>
        </w:tc>
        <w:tc>
          <w:tcPr>
            <w:tcW w:w="0" w:type="auto"/>
            <w:tcMar>
              <w:top w:w="30" w:type="dxa"/>
              <w:left w:w="45" w:type="dxa"/>
              <w:bottom w:w="30" w:type="dxa"/>
              <w:right w:w="45" w:type="dxa"/>
            </w:tcMar>
            <w:vAlign w:val="center"/>
          </w:tcPr>
          <w:p w14:paraId="26D5539A">
            <w:pPr>
              <w:widowControl w:val="0"/>
              <w:suppressAutoHyphens w:val="0"/>
              <w:ind w:right="-1"/>
              <w:jc w:val="center"/>
              <w:rPr>
                <w:sz w:val="28"/>
                <w:szCs w:val="28"/>
                <w:lang w:val="en-GB"/>
              </w:rPr>
            </w:pPr>
            <w:r>
              <w:rPr>
                <w:sz w:val="28"/>
                <w:szCs w:val="28"/>
                <w:lang w:val="en-GB"/>
              </w:rPr>
              <w:t>3</w:t>
            </w:r>
          </w:p>
        </w:tc>
        <w:tc>
          <w:tcPr>
            <w:tcW w:w="0" w:type="auto"/>
            <w:tcMar>
              <w:top w:w="30" w:type="dxa"/>
              <w:left w:w="45" w:type="dxa"/>
              <w:bottom w:w="30" w:type="dxa"/>
              <w:right w:w="45" w:type="dxa"/>
            </w:tcMar>
            <w:vAlign w:val="center"/>
          </w:tcPr>
          <w:p w14:paraId="60F50845">
            <w:pPr>
              <w:widowControl w:val="0"/>
              <w:suppressAutoHyphens w:val="0"/>
              <w:ind w:right="-1"/>
              <w:jc w:val="center"/>
              <w:rPr>
                <w:sz w:val="28"/>
                <w:szCs w:val="28"/>
                <w:lang w:val="en-GB"/>
              </w:rPr>
            </w:pPr>
            <w:r>
              <w:rPr>
                <w:sz w:val="28"/>
                <w:szCs w:val="28"/>
                <w:lang w:val="en-GB"/>
              </w:rPr>
              <w:t>2</w:t>
            </w:r>
          </w:p>
        </w:tc>
        <w:tc>
          <w:tcPr>
            <w:tcW w:w="0" w:type="auto"/>
            <w:tcMar>
              <w:top w:w="30" w:type="dxa"/>
              <w:left w:w="45" w:type="dxa"/>
              <w:bottom w:w="30" w:type="dxa"/>
              <w:right w:w="45" w:type="dxa"/>
            </w:tcMar>
            <w:vAlign w:val="center"/>
          </w:tcPr>
          <w:p w14:paraId="334B2A4A">
            <w:pPr>
              <w:widowControl w:val="0"/>
              <w:suppressAutoHyphens w:val="0"/>
              <w:ind w:right="-1"/>
              <w:jc w:val="center"/>
              <w:rPr>
                <w:sz w:val="28"/>
                <w:szCs w:val="28"/>
                <w:lang w:val="en-GB"/>
              </w:rPr>
            </w:pPr>
            <w:r>
              <w:rPr>
                <w:sz w:val="28"/>
                <w:szCs w:val="28"/>
                <w:lang w:val="en-GB"/>
              </w:rPr>
              <w:t>2</w:t>
            </w:r>
          </w:p>
        </w:tc>
        <w:tc>
          <w:tcPr>
            <w:tcW w:w="0" w:type="auto"/>
            <w:tcMar>
              <w:top w:w="30" w:type="dxa"/>
              <w:left w:w="45" w:type="dxa"/>
              <w:bottom w:w="30" w:type="dxa"/>
              <w:right w:w="45" w:type="dxa"/>
            </w:tcMar>
            <w:vAlign w:val="center"/>
          </w:tcPr>
          <w:p w14:paraId="65A22FF3">
            <w:pPr>
              <w:widowControl w:val="0"/>
              <w:suppressAutoHyphens w:val="0"/>
              <w:ind w:right="-1"/>
              <w:jc w:val="center"/>
              <w:rPr>
                <w:sz w:val="28"/>
                <w:szCs w:val="28"/>
                <w:lang w:val="en-GB"/>
              </w:rPr>
            </w:pPr>
            <w:r>
              <w:rPr>
                <w:sz w:val="28"/>
                <w:szCs w:val="28"/>
                <w:lang w:val="en-GB"/>
              </w:rPr>
              <w:t>3</w:t>
            </w:r>
          </w:p>
        </w:tc>
        <w:tc>
          <w:tcPr>
            <w:tcW w:w="0" w:type="auto"/>
            <w:tcMar>
              <w:top w:w="30" w:type="dxa"/>
              <w:left w:w="45" w:type="dxa"/>
              <w:bottom w:w="30" w:type="dxa"/>
              <w:right w:w="45" w:type="dxa"/>
            </w:tcMar>
            <w:vAlign w:val="center"/>
          </w:tcPr>
          <w:p w14:paraId="1A1659AB">
            <w:pPr>
              <w:widowControl w:val="0"/>
              <w:suppressAutoHyphens w:val="0"/>
              <w:ind w:right="-1"/>
              <w:jc w:val="center"/>
              <w:rPr>
                <w:sz w:val="28"/>
                <w:szCs w:val="28"/>
                <w:lang w:val="en-GB"/>
              </w:rPr>
            </w:pPr>
            <w:r>
              <w:rPr>
                <w:sz w:val="28"/>
                <w:szCs w:val="28"/>
                <w:lang w:val="en-GB"/>
              </w:rPr>
              <w:t>2</w:t>
            </w:r>
          </w:p>
        </w:tc>
        <w:tc>
          <w:tcPr>
            <w:tcW w:w="0" w:type="auto"/>
            <w:tcMar>
              <w:top w:w="30" w:type="dxa"/>
              <w:left w:w="45" w:type="dxa"/>
              <w:bottom w:w="30" w:type="dxa"/>
              <w:right w:w="45" w:type="dxa"/>
            </w:tcMar>
            <w:vAlign w:val="center"/>
          </w:tcPr>
          <w:p w14:paraId="667AA72C">
            <w:pPr>
              <w:widowControl w:val="0"/>
              <w:suppressAutoHyphens w:val="0"/>
              <w:ind w:right="-1"/>
              <w:jc w:val="center"/>
              <w:rPr>
                <w:sz w:val="28"/>
                <w:szCs w:val="28"/>
                <w:lang w:val="en-GB"/>
              </w:rPr>
            </w:pPr>
            <w:r>
              <w:rPr>
                <w:sz w:val="28"/>
                <w:szCs w:val="28"/>
                <w:lang w:val="en-GB"/>
              </w:rPr>
              <w:t>2</w:t>
            </w:r>
          </w:p>
        </w:tc>
        <w:tc>
          <w:tcPr>
            <w:tcW w:w="1220" w:type="dxa"/>
            <w:vMerge w:val="restart"/>
            <w:tcMar>
              <w:top w:w="30" w:type="dxa"/>
              <w:left w:w="45" w:type="dxa"/>
              <w:bottom w:w="30" w:type="dxa"/>
              <w:right w:w="45" w:type="dxa"/>
            </w:tcMar>
            <w:vAlign w:val="center"/>
          </w:tcPr>
          <w:p w14:paraId="0A6C29B7">
            <w:pPr>
              <w:widowControl w:val="0"/>
              <w:suppressAutoHyphens w:val="0"/>
              <w:ind w:right="-1"/>
              <w:jc w:val="center"/>
              <w:rPr>
                <w:sz w:val="28"/>
                <w:szCs w:val="28"/>
                <w:lang w:val="en-GB"/>
              </w:rPr>
            </w:pPr>
            <w:r>
              <w:rPr>
                <w:sz w:val="28"/>
                <w:szCs w:val="28"/>
                <w:lang w:val="en-GB"/>
              </w:rPr>
              <w:t>20</w:t>
            </w:r>
          </w:p>
        </w:tc>
        <w:tc>
          <w:tcPr>
            <w:tcW w:w="0" w:type="auto"/>
            <w:vMerge w:val="restart"/>
            <w:tcMar>
              <w:top w:w="30" w:type="dxa"/>
              <w:left w:w="45" w:type="dxa"/>
              <w:bottom w:w="30" w:type="dxa"/>
              <w:right w:w="45" w:type="dxa"/>
            </w:tcMar>
            <w:vAlign w:val="center"/>
          </w:tcPr>
          <w:p w14:paraId="72890614">
            <w:pPr>
              <w:widowControl w:val="0"/>
              <w:suppressAutoHyphens w:val="0"/>
              <w:ind w:right="-1"/>
              <w:jc w:val="center"/>
              <w:rPr>
                <w:sz w:val="28"/>
                <w:szCs w:val="28"/>
                <w:lang w:val="en-GB"/>
              </w:rPr>
            </w:pPr>
            <w:r>
              <w:rPr>
                <w:sz w:val="28"/>
                <w:szCs w:val="28"/>
                <w:lang w:val="en-GB"/>
              </w:rPr>
              <w:t>40</w:t>
            </w:r>
          </w:p>
        </w:tc>
        <w:tc>
          <w:tcPr>
            <w:tcW w:w="0" w:type="auto"/>
            <w:vMerge w:val="restart"/>
            <w:tcMar>
              <w:top w:w="30" w:type="dxa"/>
              <w:left w:w="45" w:type="dxa"/>
              <w:bottom w:w="30" w:type="dxa"/>
              <w:right w:w="45" w:type="dxa"/>
            </w:tcMar>
            <w:vAlign w:val="center"/>
          </w:tcPr>
          <w:p w14:paraId="0DBB1ABD">
            <w:pPr>
              <w:widowControl w:val="0"/>
              <w:suppressAutoHyphens w:val="0"/>
              <w:ind w:right="-1"/>
              <w:jc w:val="center"/>
              <w:rPr>
                <w:sz w:val="28"/>
                <w:szCs w:val="28"/>
                <w:lang w:val="en-GB"/>
              </w:rPr>
            </w:pPr>
            <w:r>
              <w:rPr>
                <w:sz w:val="28"/>
                <w:szCs w:val="28"/>
                <w:lang w:val="en-GB"/>
              </w:rPr>
              <w:t>100</w:t>
            </w:r>
          </w:p>
        </w:tc>
      </w:tr>
      <w:tr w14:paraId="18229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1567" w:type="dxa"/>
            <w:tcMar>
              <w:top w:w="30" w:type="dxa"/>
              <w:left w:w="45" w:type="dxa"/>
              <w:bottom w:w="30" w:type="dxa"/>
              <w:right w:w="45" w:type="dxa"/>
            </w:tcMar>
            <w:vAlign w:val="center"/>
          </w:tcPr>
          <w:p w14:paraId="62244F4C">
            <w:pPr>
              <w:widowControl w:val="0"/>
              <w:suppressAutoHyphens w:val="0"/>
              <w:ind w:right="-1"/>
              <w:rPr>
                <w:sz w:val="28"/>
                <w:szCs w:val="28"/>
                <w:lang w:val="en-GB"/>
              </w:rPr>
            </w:pPr>
            <w:r>
              <w:rPr>
                <w:sz w:val="28"/>
                <w:szCs w:val="28"/>
                <w:lang w:val="en-GB"/>
              </w:rPr>
              <w:t>Independent work</w:t>
            </w:r>
          </w:p>
        </w:tc>
        <w:tc>
          <w:tcPr>
            <w:tcW w:w="530" w:type="dxa"/>
            <w:tcMar>
              <w:top w:w="30" w:type="dxa"/>
              <w:left w:w="45" w:type="dxa"/>
              <w:bottom w:w="30" w:type="dxa"/>
              <w:right w:w="45" w:type="dxa"/>
            </w:tcMar>
            <w:vAlign w:val="center"/>
          </w:tcPr>
          <w:p w14:paraId="2602F625">
            <w:pPr>
              <w:widowControl w:val="0"/>
              <w:suppressAutoHyphens w:val="0"/>
              <w:ind w:right="-1"/>
              <w:jc w:val="center"/>
              <w:rPr>
                <w:sz w:val="28"/>
                <w:szCs w:val="28"/>
                <w:lang w:val="en-GB"/>
              </w:rPr>
            </w:pPr>
            <w:r>
              <w:rPr>
                <w:sz w:val="28"/>
                <w:szCs w:val="28"/>
                <w:lang w:val="en-GB"/>
              </w:rPr>
              <w:t>1</w:t>
            </w:r>
          </w:p>
        </w:tc>
        <w:tc>
          <w:tcPr>
            <w:tcW w:w="0" w:type="auto"/>
            <w:tcMar>
              <w:top w:w="30" w:type="dxa"/>
              <w:left w:w="45" w:type="dxa"/>
              <w:bottom w:w="30" w:type="dxa"/>
              <w:right w:w="45" w:type="dxa"/>
            </w:tcMar>
            <w:vAlign w:val="center"/>
          </w:tcPr>
          <w:p w14:paraId="5AA9B39E">
            <w:pPr>
              <w:widowControl w:val="0"/>
              <w:suppressAutoHyphens w:val="0"/>
              <w:ind w:right="-1"/>
              <w:jc w:val="center"/>
              <w:rPr>
                <w:sz w:val="28"/>
                <w:szCs w:val="28"/>
                <w:lang w:val="en-GB"/>
              </w:rPr>
            </w:pPr>
            <w:r>
              <w:rPr>
                <w:sz w:val="28"/>
                <w:szCs w:val="28"/>
                <w:lang w:val="en-GB"/>
              </w:rPr>
              <w:t>1</w:t>
            </w:r>
          </w:p>
        </w:tc>
        <w:tc>
          <w:tcPr>
            <w:tcW w:w="0" w:type="auto"/>
            <w:tcMar>
              <w:top w:w="30" w:type="dxa"/>
              <w:left w:w="45" w:type="dxa"/>
              <w:bottom w:w="30" w:type="dxa"/>
              <w:right w:w="45" w:type="dxa"/>
            </w:tcMar>
            <w:vAlign w:val="center"/>
          </w:tcPr>
          <w:p w14:paraId="3B5CADDC">
            <w:pPr>
              <w:widowControl w:val="0"/>
              <w:suppressAutoHyphens w:val="0"/>
              <w:ind w:right="-1"/>
              <w:jc w:val="center"/>
              <w:rPr>
                <w:sz w:val="28"/>
                <w:szCs w:val="28"/>
                <w:lang w:val="en-GB"/>
              </w:rPr>
            </w:pPr>
            <w:r>
              <w:rPr>
                <w:sz w:val="28"/>
                <w:szCs w:val="28"/>
                <w:lang w:val="en-GB"/>
              </w:rPr>
              <w:t>1</w:t>
            </w:r>
          </w:p>
        </w:tc>
        <w:tc>
          <w:tcPr>
            <w:tcW w:w="0" w:type="auto"/>
            <w:tcMar>
              <w:top w:w="30" w:type="dxa"/>
              <w:left w:w="45" w:type="dxa"/>
              <w:bottom w:w="30" w:type="dxa"/>
              <w:right w:w="45" w:type="dxa"/>
            </w:tcMar>
            <w:vAlign w:val="center"/>
          </w:tcPr>
          <w:p w14:paraId="6D869541">
            <w:pPr>
              <w:widowControl w:val="0"/>
              <w:suppressAutoHyphens w:val="0"/>
              <w:ind w:right="-1"/>
              <w:jc w:val="center"/>
              <w:rPr>
                <w:sz w:val="28"/>
                <w:szCs w:val="28"/>
                <w:lang w:val="en-GB"/>
              </w:rPr>
            </w:pPr>
            <w:r>
              <w:rPr>
                <w:sz w:val="28"/>
                <w:szCs w:val="28"/>
                <w:lang w:val="en-GB"/>
              </w:rPr>
              <w:t>1</w:t>
            </w:r>
          </w:p>
        </w:tc>
        <w:tc>
          <w:tcPr>
            <w:tcW w:w="0" w:type="auto"/>
            <w:tcMar>
              <w:top w:w="30" w:type="dxa"/>
              <w:left w:w="45" w:type="dxa"/>
              <w:bottom w:w="30" w:type="dxa"/>
              <w:right w:w="45" w:type="dxa"/>
            </w:tcMar>
            <w:vAlign w:val="center"/>
          </w:tcPr>
          <w:p w14:paraId="5F18D1A0">
            <w:pPr>
              <w:widowControl w:val="0"/>
              <w:suppressAutoHyphens w:val="0"/>
              <w:ind w:right="-1"/>
              <w:jc w:val="center"/>
              <w:rPr>
                <w:sz w:val="28"/>
                <w:szCs w:val="28"/>
                <w:lang w:val="en-GB"/>
              </w:rPr>
            </w:pPr>
            <w:r>
              <w:rPr>
                <w:sz w:val="28"/>
                <w:szCs w:val="28"/>
                <w:lang w:val="en-GB"/>
              </w:rPr>
              <w:t>1</w:t>
            </w:r>
          </w:p>
        </w:tc>
        <w:tc>
          <w:tcPr>
            <w:tcW w:w="0" w:type="auto"/>
            <w:tcMar>
              <w:top w:w="30" w:type="dxa"/>
              <w:left w:w="45" w:type="dxa"/>
              <w:bottom w:w="30" w:type="dxa"/>
              <w:right w:w="45" w:type="dxa"/>
            </w:tcMar>
            <w:vAlign w:val="center"/>
          </w:tcPr>
          <w:p w14:paraId="562EE06F">
            <w:pPr>
              <w:widowControl w:val="0"/>
              <w:suppressAutoHyphens w:val="0"/>
              <w:ind w:right="-1"/>
              <w:jc w:val="center"/>
              <w:rPr>
                <w:sz w:val="28"/>
                <w:szCs w:val="28"/>
                <w:lang w:val="en-GB"/>
              </w:rPr>
            </w:pPr>
            <w:r>
              <w:rPr>
                <w:sz w:val="28"/>
                <w:szCs w:val="28"/>
                <w:lang w:val="en-GB"/>
              </w:rPr>
              <w:t>1</w:t>
            </w:r>
          </w:p>
        </w:tc>
        <w:tc>
          <w:tcPr>
            <w:tcW w:w="0" w:type="auto"/>
            <w:tcMar>
              <w:top w:w="30" w:type="dxa"/>
              <w:left w:w="45" w:type="dxa"/>
              <w:bottom w:w="30" w:type="dxa"/>
              <w:right w:w="45" w:type="dxa"/>
            </w:tcMar>
            <w:vAlign w:val="center"/>
          </w:tcPr>
          <w:p w14:paraId="5F64DF15">
            <w:pPr>
              <w:widowControl w:val="0"/>
              <w:suppressAutoHyphens w:val="0"/>
              <w:ind w:right="-1"/>
              <w:jc w:val="center"/>
              <w:rPr>
                <w:sz w:val="28"/>
                <w:szCs w:val="28"/>
                <w:lang w:val="en-GB"/>
              </w:rPr>
            </w:pPr>
            <w:r>
              <w:rPr>
                <w:sz w:val="28"/>
                <w:szCs w:val="28"/>
                <w:lang w:val="en-GB"/>
              </w:rPr>
              <w:t>1</w:t>
            </w:r>
          </w:p>
        </w:tc>
        <w:tc>
          <w:tcPr>
            <w:tcW w:w="0" w:type="auto"/>
            <w:tcMar>
              <w:top w:w="30" w:type="dxa"/>
              <w:left w:w="45" w:type="dxa"/>
              <w:bottom w:w="30" w:type="dxa"/>
              <w:right w:w="45" w:type="dxa"/>
            </w:tcMar>
            <w:vAlign w:val="center"/>
          </w:tcPr>
          <w:p w14:paraId="3BCF23E3">
            <w:pPr>
              <w:widowControl w:val="0"/>
              <w:suppressAutoHyphens w:val="0"/>
              <w:ind w:right="-1"/>
              <w:jc w:val="center"/>
              <w:rPr>
                <w:sz w:val="28"/>
                <w:szCs w:val="28"/>
                <w:lang w:val="en-GB"/>
              </w:rPr>
            </w:pPr>
            <w:r>
              <w:rPr>
                <w:sz w:val="28"/>
                <w:szCs w:val="28"/>
                <w:lang w:val="en-GB"/>
              </w:rPr>
              <w:t>1</w:t>
            </w:r>
          </w:p>
        </w:tc>
        <w:tc>
          <w:tcPr>
            <w:tcW w:w="0" w:type="auto"/>
            <w:tcMar>
              <w:top w:w="30" w:type="dxa"/>
              <w:left w:w="45" w:type="dxa"/>
              <w:bottom w:w="30" w:type="dxa"/>
              <w:right w:w="45" w:type="dxa"/>
            </w:tcMar>
            <w:vAlign w:val="center"/>
          </w:tcPr>
          <w:p w14:paraId="14A08D97">
            <w:pPr>
              <w:widowControl w:val="0"/>
              <w:suppressAutoHyphens w:val="0"/>
              <w:ind w:right="-1"/>
              <w:jc w:val="center"/>
              <w:rPr>
                <w:sz w:val="28"/>
                <w:szCs w:val="28"/>
                <w:lang w:val="en-GB"/>
              </w:rPr>
            </w:pPr>
            <w:r>
              <w:rPr>
                <w:sz w:val="28"/>
                <w:szCs w:val="28"/>
                <w:lang w:val="en-GB"/>
              </w:rPr>
              <w:t>1</w:t>
            </w:r>
          </w:p>
        </w:tc>
        <w:tc>
          <w:tcPr>
            <w:tcW w:w="0" w:type="auto"/>
            <w:tcMar>
              <w:top w:w="30" w:type="dxa"/>
              <w:left w:w="45" w:type="dxa"/>
              <w:bottom w:w="30" w:type="dxa"/>
              <w:right w:w="45" w:type="dxa"/>
            </w:tcMar>
            <w:vAlign w:val="center"/>
          </w:tcPr>
          <w:p w14:paraId="6E649053">
            <w:pPr>
              <w:widowControl w:val="0"/>
              <w:suppressAutoHyphens w:val="0"/>
              <w:ind w:right="-1"/>
              <w:jc w:val="center"/>
              <w:rPr>
                <w:sz w:val="28"/>
                <w:szCs w:val="28"/>
                <w:lang w:val="en-GB"/>
              </w:rPr>
            </w:pPr>
            <w:r>
              <w:rPr>
                <w:sz w:val="28"/>
                <w:szCs w:val="28"/>
                <w:lang w:val="en-GB"/>
              </w:rPr>
              <w:t>1</w:t>
            </w:r>
          </w:p>
        </w:tc>
        <w:tc>
          <w:tcPr>
            <w:tcW w:w="0" w:type="auto"/>
            <w:tcMar>
              <w:top w:w="30" w:type="dxa"/>
              <w:left w:w="45" w:type="dxa"/>
              <w:bottom w:w="30" w:type="dxa"/>
              <w:right w:w="45" w:type="dxa"/>
            </w:tcMar>
            <w:vAlign w:val="center"/>
          </w:tcPr>
          <w:p w14:paraId="2301C261">
            <w:pPr>
              <w:widowControl w:val="0"/>
              <w:suppressAutoHyphens w:val="0"/>
              <w:ind w:right="-1"/>
              <w:jc w:val="center"/>
              <w:rPr>
                <w:sz w:val="28"/>
                <w:szCs w:val="28"/>
                <w:lang w:val="en-GB"/>
              </w:rPr>
            </w:pPr>
            <w:r>
              <w:rPr>
                <w:sz w:val="28"/>
                <w:szCs w:val="28"/>
                <w:lang w:val="en-GB"/>
              </w:rPr>
              <w:t>1</w:t>
            </w:r>
          </w:p>
        </w:tc>
        <w:tc>
          <w:tcPr>
            <w:tcW w:w="0" w:type="auto"/>
            <w:tcMar>
              <w:top w:w="30" w:type="dxa"/>
              <w:left w:w="45" w:type="dxa"/>
              <w:bottom w:w="30" w:type="dxa"/>
              <w:right w:w="45" w:type="dxa"/>
            </w:tcMar>
            <w:vAlign w:val="center"/>
          </w:tcPr>
          <w:p w14:paraId="158AD164">
            <w:pPr>
              <w:widowControl w:val="0"/>
              <w:suppressAutoHyphens w:val="0"/>
              <w:ind w:right="-1"/>
              <w:jc w:val="center"/>
              <w:rPr>
                <w:sz w:val="28"/>
                <w:szCs w:val="28"/>
                <w:lang w:val="en-GB"/>
              </w:rPr>
            </w:pPr>
            <w:r>
              <w:rPr>
                <w:sz w:val="28"/>
                <w:szCs w:val="28"/>
                <w:lang w:val="en-GB"/>
              </w:rPr>
              <w:t>1</w:t>
            </w:r>
          </w:p>
        </w:tc>
        <w:tc>
          <w:tcPr>
            <w:tcW w:w="1220" w:type="dxa"/>
            <w:vMerge w:val="continue"/>
            <w:vAlign w:val="center"/>
          </w:tcPr>
          <w:p w14:paraId="098FAE1E">
            <w:pPr>
              <w:widowControl w:val="0"/>
              <w:suppressAutoHyphens w:val="0"/>
              <w:ind w:right="-1"/>
              <w:rPr>
                <w:sz w:val="28"/>
                <w:szCs w:val="28"/>
                <w:lang w:val="en-GB"/>
              </w:rPr>
            </w:pPr>
          </w:p>
        </w:tc>
        <w:tc>
          <w:tcPr>
            <w:tcW w:w="0" w:type="auto"/>
            <w:vMerge w:val="continue"/>
            <w:vAlign w:val="center"/>
          </w:tcPr>
          <w:p w14:paraId="68175EA2">
            <w:pPr>
              <w:widowControl w:val="0"/>
              <w:suppressAutoHyphens w:val="0"/>
              <w:ind w:right="-1"/>
              <w:rPr>
                <w:sz w:val="28"/>
                <w:szCs w:val="28"/>
                <w:lang w:val="en-GB"/>
              </w:rPr>
            </w:pPr>
          </w:p>
        </w:tc>
        <w:tc>
          <w:tcPr>
            <w:tcW w:w="0" w:type="auto"/>
            <w:vMerge w:val="continue"/>
            <w:vAlign w:val="center"/>
          </w:tcPr>
          <w:p w14:paraId="63964D5B">
            <w:pPr>
              <w:widowControl w:val="0"/>
              <w:suppressAutoHyphens w:val="0"/>
              <w:ind w:right="-1"/>
              <w:rPr>
                <w:sz w:val="28"/>
                <w:szCs w:val="28"/>
                <w:lang w:val="en-GB"/>
              </w:rPr>
            </w:pPr>
          </w:p>
        </w:tc>
      </w:tr>
      <w:bookmarkEnd w:id="1"/>
    </w:tbl>
    <w:p w14:paraId="028C8B1F">
      <w:pPr>
        <w:widowControl w:val="0"/>
        <w:ind w:right="-1"/>
        <w:jc w:val="both"/>
        <w:rPr>
          <w:i/>
          <w:iCs/>
          <w:sz w:val="28"/>
          <w:szCs w:val="28"/>
          <w:highlight w:val="cyan"/>
          <w:lang w:val="en-GB"/>
        </w:rPr>
      </w:pPr>
    </w:p>
    <w:p w14:paraId="78586E58">
      <w:pPr>
        <w:pBdr>
          <w:top w:val="none" w:color="auto" w:sz="0" w:space="0"/>
          <w:left w:val="none" w:color="auto" w:sz="0" w:space="0"/>
          <w:bottom w:val="none" w:color="auto" w:sz="0" w:space="0"/>
          <w:right w:val="none" w:color="auto" w:sz="0" w:space="0"/>
          <w:between w:val="none" w:color="auto" w:sz="0" w:space="0"/>
        </w:pBdr>
        <w:ind w:firstLine="720"/>
        <w:jc w:val="both"/>
        <w:rPr>
          <w:color w:val="000000"/>
          <w:sz w:val="28"/>
          <w:szCs w:val="28"/>
          <w:lang w:val="en-US"/>
        </w:rPr>
      </w:pPr>
      <w:r>
        <w:rPr>
          <w:color w:val="000000"/>
          <w:sz w:val="28"/>
          <w:szCs w:val="28"/>
          <w:lang w:val="en-US"/>
        </w:rPr>
        <w:t>The table contains information about the maximum points for each type of assignment.</w:t>
      </w:r>
    </w:p>
    <w:p w14:paraId="738E160F">
      <w:pPr>
        <w:pBdr>
          <w:top w:val="none" w:color="auto" w:sz="0" w:space="0"/>
          <w:left w:val="none" w:color="auto" w:sz="0" w:space="0"/>
          <w:bottom w:val="none" w:color="auto" w:sz="0" w:space="0"/>
          <w:right w:val="none" w:color="auto" w:sz="0" w:space="0"/>
          <w:between w:val="none" w:color="auto" w:sz="0" w:space="0"/>
        </w:pBdr>
        <w:ind w:firstLine="720"/>
        <w:jc w:val="both"/>
        <w:rPr>
          <w:color w:val="000000"/>
          <w:sz w:val="28"/>
          <w:szCs w:val="28"/>
          <w:lang w:val="en-US"/>
        </w:rPr>
      </w:pPr>
      <w:r>
        <w:rPr>
          <w:color w:val="000000"/>
          <w:sz w:val="28"/>
          <w:szCs w:val="28"/>
          <w:lang w:val="en-US"/>
        </w:rPr>
        <w:t>When assessing the mastery of each topic within ongoing educational activities, students receive marks in accordance with the approved assessment criteria for the respective discipline.</w:t>
      </w:r>
    </w:p>
    <w:p w14:paraId="2CF13376">
      <w:pPr>
        <w:pBdr>
          <w:top w:val="none" w:color="auto" w:sz="0" w:space="0"/>
          <w:left w:val="none" w:color="auto" w:sz="0" w:space="0"/>
          <w:bottom w:val="none" w:color="auto" w:sz="0" w:space="0"/>
          <w:right w:val="none" w:color="auto" w:sz="0" w:space="0"/>
          <w:between w:val="none" w:color="auto" w:sz="0" w:space="0"/>
        </w:pBdr>
        <w:ind w:firstLine="720"/>
        <w:jc w:val="both"/>
        <w:rPr>
          <w:color w:val="000000"/>
          <w:sz w:val="28"/>
          <w:szCs w:val="28"/>
          <w:lang w:val="en-US"/>
        </w:rPr>
      </w:pPr>
      <w:r>
        <w:rPr>
          <w:color w:val="000000"/>
          <w:sz w:val="28"/>
          <w:szCs w:val="28"/>
          <w:lang w:val="en-US"/>
        </w:rPr>
        <w:t>The criteria for evaluating learning outcomes and the distribution of points are regulated by the Regulations on the Assessment of Students’ Academic Achievements at PJSC “HEI IAPM”.</w:t>
      </w:r>
    </w:p>
    <w:p w14:paraId="3C501301">
      <w:pPr>
        <w:pBdr>
          <w:top w:val="none" w:color="auto" w:sz="0" w:space="0"/>
          <w:left w:val="none" w:color="auto" w:sz="0" w:space="0"/>
          <w:bottom w:val="none" w:color="auto" w:sz="0" w:space="0"/>
          <w:right w:val="none" w:color="auto" w:sz="0" w:space="0"/>
          <w:between w:val="none" w:color="auto" w:sz="0" w:space="0"/>
        </w:pBdr>
        <w:ind w:firstLine="720"/>
        <w:jc w:val="both"/>
        <w:rPr>
          <w:b/>
          <w:bCs/>
          <w:color w:val="000000"/>
          <w:sz w:val="28"/>
          <w:szCs w:val="28"/>
          <w:lang w:val="en-US"/>
        </w:rPr>
      </w:pPr>
    </w:p>
    <w:p w14:paraId="66F5DEBC">
      <w:pPr>
        <w:pBdr>
          <w:top w:val="none" w:color="auto" w:sz="0" w:space="0"/>
          <w:left w:val="none" w:color="auto" w:sz="0" w:space="0"/>
          <w:bottom w:val="none" w:color="auto" w:sz="0" w:space="0"/>
          <w:right w:val="none" w:color="auto" w:sz="0" w:space="0"/>
          <w:between w:val="none" w:color="auto" w:sz="0" w:space="0"/>
        </w:pBdr>
        <w:ind w:firstLine="720"/>
        <w:jc w:val="both"/>
        <w:rPr>
          <w:color w:val="000000"/>
          <w:sz w:val="28"/>
          <w:szCs w:val="28"/>
          <w:lang w:val="en-US"/>
        </w:rPr>
      </w:pPr>
      <w:r>
        <w:rPr>
          <w:b/>
          <w:bCs/>
          <w:color w:val="000000"/>
          <w:sz w:val="28"/>
          <w:szCs w:val="28"/>
          <w:lang w:val="en-US"/>
        </w:rPr>
        <w:t>Modular assessment.</w:t>
      </w:r>
      <w:r>
        <w:rPr>
          <w:color w:val="000000"/>
          <w:sz w:val="28"/>
          <w:szCs w:val="28"/>
          <w:lang w:val="en-US"/>
        </w:rPr>
        <w:t xml:space="preserve"> Modular assessment in the discipline “</w:t>
      </w:r>
      <w:r>
        <w:rPr>
          <w:bCs/>
          <w:sz w:val="28"/>
          <w:szCs w:val="28"/>
          <w:lang w:val="en-GB"/>
        </w:rPr>
        <w:t>Fundamentals of entrepreneurial activity</w:t>
      </w:r>
      <w:r>
        <w:rPr>
          <w:sz w:val="28"/>
          <w:szCs w:val="28"/>
          <w:lang w:val="en-GB" w:eastAsia="en-US"/>
        </w:rPr>
        <w:t>”</w:t>
      </w:r>
      <w:r>
        <w:rPr>
          <w:color w:val="000000"/>
          <w:sz w:val="28"/>
          <w:szCs w:val="28"/>
          <w:lang w:val="en-US"/>
        </w:rPr>
        <w:t xml:space="preserve"> is conducted in written form as testing using closed-type test items, including alternative and matching formats.</w:t>
      </w:r>
    </w:p>
    <w:p w14:paraId="016EB62E">
      <w:pPr>
        <w:pBdr>
          <w:top w:val="none" w:color="auto" w:sz="0" w:space="0"/>
          <w:left w:val="none" w:color="auto" w:sz="0" w:space="0"/>
          <w:bottom w:val="none" w:color="auto" w:sz="0" w:space="0"/>
          <w:right w:val="none" w:color="auto" w:sz="0" w:space="0"/>
          <w:between w:val="none" w:color="auto" w:sz="0" w:space="0"/>
        </w:pBdr>
        <w:ind w:firstLine="720"/>
        <w:jc w:val="both"/>
        <w:rPr>
          <w:color w:val="000000"/>
          <w:sz w:val="28"/>
          <w:szCs w:val="28"/>
          <w:lang w:val="en-US"/>
        </w:rPr>
      </w:pPr>
    </w:p>
    <w:p w14:paraId="0F4FBB0F">
      <w:pPr>
        <w:pBdr>
          <w:top w:val="none" w:color="auto" w:sz="0" w:space="0"/>
          <w:left w:val="none" w:color="auto" w:sz="0" w:space="0"/>
          <w:bottom w:val="none" w:color="auto" w:sz="0" w:space="0"/>
          <w:right w:val="none" w:color="auto" w:sz="0" w:space="0"/>
          <w:between w:val="none" w:color="auto" w:sz="0" w:space="0"/>
        </w:pBdr>
        <w:ind w:firstLine="720"/>
        <w:jc w:val="both"/>
        <w:rPr>
          <w:color w:val="000000"/>
          <w:sz w:val="28"/>
          <w:szCs w:val="28"/>
          <w:lang w:val="en-US"/>
        </w:rPr>
      </w:pPr>
      <w:r>
        <w:rPr>
          <w:color w:val="000000"/>
          <w:sz w:val="28"/>
          <w:szCs w:val="28"/>
          <w:lang w:val="en-US"/>
        </w:rPr>
        <w:t>Criteria for evaluating the modular test in the academic discipline “</w:t>
      </w:r>
      <w:r>
        <w:rPr>
          <w:bCs/>
          <w:sz w:val="28"/>
          <w:szCs w:val="28"/>
          <w:lang w:val="en-GB"/>
        </w:rPr>
        <w:t>Fundamentals of entrepreneurial activity</w:t>
      </w:r>
      <w:r>
        <w:rPr>
          <w:color w:val="000000"/>
          <w:sz w:val="28"/>
          <w:szCs w:val="28"/>
          <w:lang w:val="en-US"/>
        </w:rPr>
        <w:t>”:</w:t>
      </w:r>
    </w:p>
    <w:p w14:paraId="00C7F8B5">
      <w:pPr>
        <w:pBdr>
          <w:top w:val="none" w:color="auto" w:sz="0" w:space="0"/>
          <w:left w:val="none" w:color="auto" w:sz="0" w:space="0"/>
          <w:bottom w:val="none" w:color="auto" w:sz="0" w:space="0"/>
          <w:right w:val="none" w:color="auto" w:sz="0" w:space="0"/>
          <w:between w:val="none" w:color="auto" w:sz="0" w:space="0"/>
        </w:pBdr>
        <w:ind w:firstLine="720"/>
        <w:jc w:val="both"/>
        <w:rPr>
          <w:color w:val="000000"/>
          <w:sz w:val="28"/>
          <w:szCs w:val="28"/>
          <w:lang w:val="en-US"/>
        </w:rPr>
      </w:pPr>
      <w:r>
        <w:rPr>
          <w:color w:val="000000"/>
          <w:sz w:val="28"/>
          <w:szCs w:val="28"/>
          <w:lang w:val="en-US"/>
        </w:rPr>
        <w:t>When evaluating the modular test, the volume and correctness of the completed tasks are taken into account:</w:t>
      </w:r>
    </w:p>
    <w:p w14:paraId="129CF6F6">
      <w:pPr>
        <w:pBdr>
          <w:top w:val="none" w:color="auto" w:sz="0" w:space="0"/>
          <w:left w:val="none" w:color="auto" w:sz="0" w:space="0"/>
          <w:bottom w:val="none" w:color="auto" w:sz="0" w:space="0"/>
          <w:right w:val="none" w:color="auto" w:sz="0" w:space="0"/>
          <w:between w:val="none" w:color="auto" w:sz="0" w:space="0"/>
        </w:pBdr>
        <w:ind w:firstLine="720"/>
        <w:jc w:val="both"/>
        <w:rPr>
          <w:color w:val="000000"/>
          <w:sz w:val="28"/>
          <w:szCs w:val="28"/>
          <w:lang w:val="en-US"/>
        </w:rPr>
      </w:pPr>
      <w:r>
        <w:rPr>
          <w:color w:val="000000"/>
          <w:sz w:val="28"/>
          <w:szCs w:val="28"/>
          <w:lang w:val="en-US"/>
        </w:rPr>
        <w:t>- the grade "excellent" (A) is given for the correct completion of all tasks (or more than 90% of all tasks);</w:t>
      </w:r>
    </w:p>
    <w:p w14:paraId="2ABAE3DE">
      <w:pPr>
        <w:pBdr>
          <w:top w:val="none" w:color="auto" w:sz="0" w:space="0"/>
          <w:left w:val="none" w:color="auto" w:sz="0" w:space="0"/>
          <w:bottom w:val="none" w:color="auto" w:sz="0" w:space="0"/>
          <w:right w:val="none" w:color="auto" w:sz="0" w:space="0"/>
          <w:between w:val="none" w:color="auto" w:sz="0" w:space="0"/>
        </w:pBdr>
        <w:ind w:firstLine="720"/>
        <w:jc w:val="both"/>
        <w:rPr>
          <w:color w:val="000000"/>
          <w:sz w:val="28"/>
          <w:szCs w:val="28"/>
          <w:lang w:val="en-US"/>
        </w:rPr>
      </w:pPr>
      <w:r>
        <w:rPr>
          <w:color w:val="000000"/>
          <w:sz w:val="28"/>
          <w:szCs w:val="28"/>
          <w:lang w:val="en-US"/>
        </w:rPr>
        <w:t>- the grade "good" (B) is given for the completion of 80% of all tasks;</w:t>
      </w:r>
    </w:p>
    <w:p w14:paraId="5EC49496">
      <w:pPr>
        <w:pBdr>
          <w:top w:val="none" w:color="auto" w:sz="0" w:space="0"/>
          <w:left w:val="none" w:color="auto" w:sz="0" w:space="0"/>
          <w:bottom w:val="none" w:color="auto" w:sz="0" w:space="0"/>
          <w:right w:val="none" w:color="auto" w:sz="0" w:space="0"/>
          <w:between w:val="none" w:color="auto" w:sz="0" w:space="0"/>
        </w:pBdr>
        <w:ind w:firstLine="720"/>
        <w:jc w:val="both"/>
        <w:rPr>
          <w:color w:val="000000"/>
          <w:sz w:val="28"/>
          <w:szCs w:val="28"/>
          <w:lang w:val="en-US"/>
        </w:rPr>
      </w:pPr>
      <w:r>
        <w:rPr>
          <w:color w:val="000000"/>
          <w:sz w:val="28"/>
          <w:szCs w:val="28"/>
          <w:lang w:val="en-US"/>
        </w:rPr>
        <w:t>- the grade "good" (C) is given for the completion of 70% of all tasks;</w:t>
      </w:r>
    </w:p>
    <w:p w14:paraId="36852FA3">
      <w:pPr>
        <w:pBdr>
          <w:top w:val="none" w:color="auto" w:sz="0" w:space="0"/>
          <w:left w:val="none" w:color="auto" w:sz="0" w:space="0"/>
          <w:bottom w:val="none" w:color="auto" w:sz="0" w:space="0"/>
          <w:right w:val="none" w:color="auto" w:sz="0" w:space="0"/>
          <w:between w:val="none" w:color="auto" w:sz="0" w:space="0"/>
        </w:pBdr>
        <w:ind w:firstLine="720"/>
        <w:jc w:val="both"/>
        <w:rPr>
          <w:color w:val="000000"/>
          <w:sz w:val="28"/>
          <w:szCs w:val="28"/>
          <w:lang w:val="en-US"/>
        </w:rPr>
      </w:pPr>
      <w:r>
        <w:rPr>
          <w:color w:val="000000"/>
          <w:sz w:val="28"/>
          <w:szCs w:val="28"/>
          <w:lang w:val="en-US"/>
        </w:rPr>
        <w:t>- the grade "satisfactory" (D) is given if 60% of the proposed tasks are completed correctly;</w:t>
      </w:r>
    </w:p>
    <w:p w14:paraId="2E813E55">
      <w:pPr>
        <w:pBdr>
          <w:top w:val="none" w:color="auto" w:sz="0" w:space="0"/>
          <w:left w:val="none" w:color="auto" w:sz="0" w:space="0"/>
          <w:bottom w:val="none" w:color="auto" w:sz="0" w:space="0"/>
          <w:right w:val="none" w:color="auto" w:sz="0" w:space="0"/>
          <w:between w:val="none" w:color="auto" w:sz="0" w:space="0"/>
        </w:pBdr>
        <w:ind w:firstLine="720"/>
        <w:jc w:val="both"/>
        <w:rPr>
          <w:color w:val="000000"/>
          <w:sz w:val="28"/>
          <w:szCs w:val="28"/>
          <w:lang w:val="en-US"/>
        </w:rPr>
      </w:pPr>
      <w:r>
        <w:rPr>
          <w:color w:val="000000"/>
          <w:sz w:val="28"/>
          <w:szCs w:val="28"/>
          <w:lang w:val="en-US"/>
        </w:rPr>
        <w:t>- the grade "satisfactory" (E) is given if more than 50% of the proposed tasks are completed correctly;</w:t>
      </w:r>
    </w:p>
    <w:p w14:paraId="2F410C9C">
      <w:pPr>
        <w:pBdr>
          <w:top w:val="none" w:color="auto" w:sz="0" w:space="0"/>
          <w:left w:val="none" w:color="auto" w:sz="0" w:space="0"/>
          <w:bottom w:val="none" w:color="auto" w:sz="0" w:space="0"/>
          <w:right w:val="none" w:color="auto" w:sz="0" w:space="0"/>
          <w:between w:val="none" w:color="auto" w:sz="0" w:space="0"/>
        </w:pBdr>
        <w:ind w:firstLine="720"/>
        <w:jc w:val="both"/>
        <w:rPr>
          <w:color w:val="000000"/>
          <w:sz w:val="28"/>
          <w:szCs w:val="28"/>
          <w:lang w:val="en-US"/>
        </w:rPr>
      </w:pPr>
      <w:r>
        <w:rPr>
          <w:color w:val="000000"/>
          <w:sz w:val="28"/>
          <w:szCs w:val="28"/>
          <w:lang w:val="en-US"/>
        </w:rPr>
        <w:t>- the grade "unsatisfactory" (FX) is given if less than 50% of the tasks are completed.</w:t>
      </w:r>
    </w:p>
    <w:p w14:paraId="6D8D8C51">
      <w:pPr>
        <w:pBdr>
          <w:top w:val="none" w:color="auto" w:sz="0" w:space="0"/>
          <w:left w:val="none" w:color="auto" w:sz="0" w:space="0"/>
          <w:bottom w:val="none" w:color="auto" w:sz="0" w:space="0"/>
          <w:right w:val="none" w:color="auto" w:sz="0" w:space="0"/>
          <w:between w:val="none" w:color="auto" w:sz="0" w:space="0"/>
        </w:pBdr>
        <w:ind w:firstLine="720"/>
        <w:jc w:val="both"/>
        <w:rPr>
          <w:color w:val="000000"/>
          <w:sz w:val="28"/>
          <w:szCs w:val="28"/>
          <w:lang w:val="en-US"/>
        </w:rPr>
      </w:pPr>
      <w:r>
        <w:rPr>
          <w:color w:val="000000"/>
          <w:sz w:val="28"/>
          <w:szCs w:val="28"/>
          <w:lang w:val="en-US"/>
        </w:rPr>
        <w:t>Absence from the modular test work - 0 points.</w:t>
      </w:r>
    </w:p>
    <w:p w14:paraId="6A4D02D9">
      <w:pPr>
        <w:pBdr>
          <w:top w:val="none" w:color="auto" w:sz="0" w:space="0"/>
          <w:left w:val="none" w:color="auto" w:sz="0" w:space="0"/>
          <w:bottom w:val="none" w:color="auto" w:sz="0" w:space="0"/>
          <w:right w:val="none" w:color="auto" w:sz="0" w:space="0"/>
          <w:between w:val="none" w:color="auto" w:sz="0" w:space="0"/>
        </w:pBdr>
        <w:ind w:firstLine="720"/>
        <w:jc w:val="both"/>
        <w:rPr>
          <w:color w:val="000000"/>
          <w:sz w:val="28"/>
          <w:szCs w:val="28"/>
          <w:lang w:val="en-US"/>
        </w:rPr>
      </w:pPr>
    </w:p>
    <w:p w14:paraId="27732FC0">
      <w:pPr>
        <w:pBdr>
          <w:top w:val="none" w:color="auto" w:sz="0" w:space="0"/>
          <w:left w:val="none" w:color="auto" w:sz="0" w:space="0"/>
          <w:bottom w:val="none" w:color="auto" w:sz="0" w:space="0"/>
          <w:right w:val="none" w:color="auto" w:sz="0" w:space="0"/>
          <w:between w:val="none" w:color="auto" w:sz="0" w:space="0"/>
        </w:pBdr>
        <w:ind w:firstLine="720"/>
        <w:jc w:val="both"/>
        <w:rPr>
          <w:color w:val="000000"/>
          <w:sz w:val="28"/>
          <w:szCs w:val="28"/>
          <w:lang w:val="en-US"/>
        </w:rPr>
      </w:pPr>
      <w:r>
        <w:rPr>
          <w:color w:val="000000"/>
          <w:sz w:val="28"/>
          <w:szCs w:val="28"/>
          <w:lang w:val="en-US"/>
        </w:rPr>
        <w:t>The above grades are transformed into rating points as follows:</w:t>
      </w:r>
    </w:p>
    <w:p w14:paraId="08FBA854">
      <w:pPr>
        <w:pBdr>
          <w:top w:val="none" w:color="auto" w:sz="0" w:space="0"/>
          <w:left w:val="none" w:color="auto" w:sz="0" w:space="0"/>
          <w:bottom w:val="none" w:color="auto" w:sz="0" w:space="0"/>
          <w:right w:val="none" w:color="auto" w:sz="0" w:space="0"/>
          <w:between w:val="none" w:color="auto" w:sz="0" w:space="0"/>
        </w:pBdr>
        <w:ind w:firstLine="720"/>
        <w:jc w:val="both"/>
        <w:rPr>
          <w:color w:val="000000"/>
          <w:sz w:val="28"/>
          <w:szCs w:val="28"/>
          <w:lang w:val="en-US"/>
        </w:rPr>
      </w:pPr>
      <w:r>
        <w:rPr>
          <w:color w:val="000000"/>
          <w:sz w:val="28"/>
          <w:szCs w:val="28"/>
          <w:lang w:val="en-US"/>
        </w:rPr>
        <w:t>"A" - 18-20 points;</w:t>
      </w:r>
    </w:p>
    <w:p w14:paraId="39754E3F">
      <w:pPr>
        <w:pBdr>
          <w:top w:val="none" w:color="auto" w:sz="0" w:space="0"/>
          <w:left w:val="none" w:color="auto" w:sz="0" w:space="0"/>
          <w:bottom w:val="none" w:color="auto" w:sz="0" w:space="0"/>
          <w:right w:val="none" w:color="auto" w:sz="0" w:space="0"/>
          <w:between w:val="none" w:color="auto" w:sz="0" w:space="0"/>
        </w:pBdr>
        <w:ind w:firstLine="720"/>
        <w:jc w:val="both"/>
        <w:rPr>
          <w:color w:val="000000"/>
          <w:sz w:val="28"/>
          <w:szCs w:val="28"/>
          <w:lang w:val="en-US"/>
        </w:rPr>
      </w:pPr>
      <w:r>
        <w:rPr>
          <w:color w:val="000000"/>
          <w:sz w:val="28"/>
          <w:szCs w:val="28"/>
          <w:lang w:val="en-US"/>
        </w:rPr>
        <w:t>"B" - 16-17 points;</w:t>
      </w:r>
    </w:p>
    <w:p w14:paraId="64479569">
      <w:pPr>
        <w:pBdr>
          <w:top w:val="none" w:color="auto" w:sz="0" w:space="0"/>
          <w:left w:val="none" w:color="auto" w:sz="0" w:space="0"/>
          <w:bottom w:val="none" w:color="auto" w:sz="0" w:space="0"/>
          <w:right w:val="none" w:color="auto" w:sz="0" w:space="0"/>
          <w:between w:val="none" w:color="auto" w:sz="0" w:space="0"/>
        </w:pBdr>
        <w:ind w:firstLine="720"/>
        <w:jc w:val="both"/>
        <w:rPr>
          <w:color w:val="000000"/>
          <w:sz w:val="28"/>
          <w:szCs w:val="28"/>
          <w:lang w:val="en-US"/>
        </w:rPr>
      </w:pPr>
      <w:r>
        <w:rPr>
          <w:color w:val="000000"/>
          <w:sz w:val="28"/>
          <w:szCs w:val="28"/>
          <w:lang w:val="en-US"/>
        </w:rPr>
        <w:t>"C" - 14-15 points;</w:t>
      </w:r>
    </w:p>
    <w:p w14:paraId="293BC4C6">
      <w:pPr>
        <w:pBdr>
          <w:top w:val="none" w:color="auto" w:sz="0" w:space="0"/>
          <w:left w:val="none" w:color="auto" w:sz="0" w:space="0"/>
          <w:bottom w:val="none" w:color="auto" w:sz="0" w:space="0"/>
          <w:right w:val="none" w:color="auto" w:sz="0" w:space="0"/>
          <w:between w:val="none" w:color="auto" w:sz="0" w:space="0"/>
        </w:pBdr>
        <w:ind w:firstLine="720"/>
        <w:jc w:val="both"/>
        <w:rPr>
          <w:color w:val="000000"/>
          <w:sz w:val="28"/>
          <w:szCs w:val="28"/>
          <w:lang w:val="en-US"/>
        </w:rPr>
      </w:pPr>
      <w:r>
        <w:rPr>
          <w:color w:val="000000"/>
          <w:sz w:val="28"/>
          <w:szCs w:val="28"/>
          <w:lang w:val="en-US"/>
        </w:rPr>
        <w:t>"D" - 12-13 points.</w:t>
      </w:r>
    </w:p>
    <w:p w14:paraId="74F89B6B">
      <w:pPr>
        <w:pBdr>
          <w:top w:val="none" w:color="auto" w:sz="0" w:space="0"/>
          <w:left w:val="none" w:color="auto" w:sz="0" w:space="0"/>
          <w:bottom w:val="none" w:color="auto" w:sz="0" w:space="0"/>
          <w:right w:val="none" w:color="auto" w:sz="0" w:space="0"/>
          <w:between w:val="none" w:color="auto" w:sz="0" w:space="0"/>
        </w:pBdr>
        <w:ind w:firstLine="720"/>
        <w:jc w:val="both"/>
        <w:rPr>
          <w:color w:val="000000"/>
          <w:sz w:val="28"/>
          <w:szCs w:val="28"/>
          <w:lang w:val="en-US"/>
        </w:rPr>
      </w:pPr>
      <w:r>
        <w:rPr>
          <w:color w:val="000000"/>
          <w:sz w:val="28"/>
          <w:szCs w:val="28"/>
          <w:lang w:val="en-US"/>
        </w:rPr>
        <w:t>"E" - 10-11 points;</w:t>
      </w:r>
    </w:p>
    <w:p w14:paraId="006F609F">
      <w:pPr>
        <w:pBdr>
          <w:top w:val="none" w:color="auto" w:sz="0" w:space="0"/>
          <w:left w:val="none" w:color="auto" w:sz="0" w:space="0"/>
          <w:bottom w:val="none" w:color="auto" w:sz="0" w:space="0"/>
          <w:right w:val="none" w:color="auto" w:sz="0" w:space="0"/>
          <w:between w:val="none" w:color="auto" w:sz="0" w:space="0"/>
        </w:pBdr>
        <w:ind w:firstLine="720"/>
        <w:jc w:val="both"/>
        <w:rPr>
          <w:color w:val="000000"/>
          <w:sz w:val="28"/>
          <w:szCs w:val="28"/>
          <w:lang w:val="en-US"/>
        </w:rPr>
      </w:pPr>
      <w:r>
        <w:rPr>
          <w:color w:val="000000"/>
          <w:sz w:val="28"/>
          <w:szCs w:val="28"/>
          <w:lang w:val="en-US"/>
        </w:rPr>
        <w:t>"FX" - less than 10 points.</w:t>
      </w:r>
    </w:p>
    <w:p w14:paraId="4BDA53E8">
      <w:pPr>
        <w:ind w:firstLine="720"/>
        <w:jc w:val="both"/>
        <w:rPr>
          <w:color w:val="000000"/>
          <w:sz w:val="28"/>
          <w:szCs w:val="28"/>
          <w:lang w:val="en-GB"/>
        </w:rPr>
      </w:pPr>
    </w:p>
    <w:p w14:paraId="11D1C234">
      <w:pPr>
        <w:ind w:firstLine="720"/>
        <w:jc w:val="both"/>
        <w:rPr>
          <w:color w:val="000000"/>
          <w:sz w:val="28"/>
          <w:szCs w:val="28"/>
          <w:lang w:val="en-GB"/>
        </w:rPr>
      </w:pPr>
      <w:r>
        <w:rPr>
          <w:color w:val="000000"/>
          <w:sz w:val="28"/>
          <w:szCs w:val="28"/>
          <w:lang w:val="en-GB"/>
        </w:rPr>
        <w:t>The final semester assessment in the academic discipline “</w:t>
      </w:r>
      <w:r>
        <w:rPr>
          <w:bCs/>
          <w:sz w:val="28"/>
          <w:szCs w:val="28"/>
          <w:lang w:val="en-GB"/>
        </w:rPr>
        <w:t>Fundamentals of entrepreneurial activity</w:t>
      </w:r>
      <w:r>
        <w:rPr>
          <w:sz w:val="28"/>
          <w:szCs w:val="28"/>
          <w:lang w:val="en-GB" w:eastAsia="en-US"/>
        </w:rPr>
        <w:t>”</w:t>
      </w:r>
      <w:r>
        <w:rPr>
          <w:color w:val="000000"/>
          <w:sz w:val="28"/>
          <w:szCs w:val="28"/>
          <w:lang w:val="en-GB"/>
        </w:rPr>
        <w:t xml:space="preserve"> is a mandatory form of evaluating student learning outcomes. It is conducted within the period established by the academic schedule and covers the volume of material defined in the course syllabus.</w:t>
      </w:r>
    </w:p>
    <w:p w14:paraId="3713F871">
      <w:pPr>
        <w:ind w:firstLine="720"/>
        <w:jc w:val="both"/>
        <w:rPr>
          <w:color w:val="000000"/>
          <w:sz w:val="28"/>
          <w:szCs w:val="28"/>
          <w:lang w:val="en-GB"/>
        </w:rPr>
      </w:pPr>
      <w:r>
        <w:rPr>
          <w:color w:val="000000"/>
          <w:sz w:val="28"/>
          <w:szCs w:val="28"/>
          <w:lang w:val="en-GB"/>
        </w:rPr>
        <w:t>The final assessment is administered in the form of an exam. A student is admitted to the exam only if all required coursework specified in the syllabus has been completed.</w:t>
      </w:r>
    </w:p>
    <w:p w14:paraId="142EDFB2">
      <w:pPr>
        <w:ind w:firstLine="720"/>
        <w:jc w:val="both"/>
        <w:rPr>
          <w:color w:val="000000"/>
          <w:sz w:val="28"/>
          <w:szCs w:val="28"/>
          <w:lang w:val="en-GB"/>
        </w:rPr>
      </w:pPr>
      <w:r>
        <w:rPr>
          <w:color w:val="000000"/>
          <w:sz w:val="28"/>
          <w:szCs w:val="28"/>
          <w:lang w:val="en-GB"/>
        </w:rPr>
        <w:t>The final (semester) grade for a discipline assessed by examination consists of two components: the results of ongoing assessment and the exam grade.</w:t>
      </w:r>
    </w:p>
    <w:p w14:paraId="65485E91">
      <w:pPr>
        <w:ind w:firstLine="720"/>
        <w:jc w:val="both"/>
        <w:rPr>
          <w:color w:val="000000"/>
          <w:sz w:val="28"/>
          <w:szCs w:val="28"/>
          <w:lang w:val="en-GB"/>
        </w:rPr>
      </w:pPr>
      <w:r>
        <w:rPr>
          <w:color w:val="000000"/>
          <w:sz w:val="28"/>
          <w:szCs w:val="28"/>
          <w:lang w:val="en-GB"/>
        </w:rPr>
        <w:t>The maximum number of points for ongoing assessment is 60, and the maximum for the exam is 40.</w:t>
      </w:r>
    </w:p>
    <w:p w14:paraId="2460D5A4">
      <w:pPr>
        <w:ind w:firstLine="720"/>
        <w:jc w:val="both"/>
        <w:rPr>
          <w:color w:val="000000"/>
          <w:sz w:val="28"/>
          <w:szCs w:val="28"/>
          <w:lang w:val="en-GB"/>
        </w:rPr>
      </w:pPr>
      <w:r>
        <w:rPr>
          <w:color w:val="000000"/>
          <w:sz w:val="28"/>
          <w:szCs w:val="28"/>
          <w:lang w:val="en-GB"/>
        </w:rPr>
        <w:t>The minimum number of points required to pass the exam is 25.</w:t>
      </w:r>
    </w:p>
    <w:p w14:paraId="31F0BCCF">
      <w:pPr>
        <w:ind w:firstLine="720"/>
        <w:jc w:val="both"/>
        <w:rPr>
          <w:color w:val="000000"/>
          <w:sz w:val="28"/>
          <w:szCs w:val="28"/>
          <w:lang w:val="en-GB"/>
        </w:rPr>
      </w:pPr>
      <w:r>
        <w:rPr>
          <w:color w:val="000000"/>
          <w:sz w:val="28"/>
          <w:szCs w:val="28"/>
          <w:lang w:val="en-GB"/>
        </w:rPr>
        <w:t>The grade for ongoing assessment is formed as the sum of rating points earned by the student during seminar/practical classes and any incentive (bonus) points, if applicable.</w:t>
      </w:r>
    </w:p>
    <w:p w14:paraId="7B882EEE">
      <w:pPr>
        <w:ind w:firstLine="720"/>
        <w:jc w:val="both"/>
        <w:rPr>
          <w:color w:val="000000"/>
          <w:sz w:val="28"/>
          <w:szCs w:val="28"/>
          <w:lang w:val="en-GB"/>
        </w:rPr>
      </w:pPr>
      <w:r>
        <w:rPr>
          <w:color w:val="000000"/>
          <w:sz w:val="28"/>
          <w:szCs w:val="28"/>
          <w:lang w:val="en-GB"/>
        </w:rPr>
        <w:t>After evaluating a student’s exam responses, the instructor adds the exam score to the points earned for ongoing assessment to determine the final grade for the course.</w:t>
      </w:r>
    </w:p>
    <w:p w14:paraId="327D6995">
      <w:pPr>
        <w:ind w:firstLine="720"/>
        <w:jc w:val="both"/>
        <w:rPr>
          <w:color w:val="000000"/>
          <w:sz w:val="28"/>
          <w:szCs w:val="28"/>
          <w:lang w:val="en-US"/>
        </w:rPr>
      </w:pPr>
    </w:p>
    <w:p w14:paraId="10483C31">
      <w:pPr>
        <w:ind w:firstLine="720"/>
        <w:jc w:val="both"/>
        <w:rPr>
          <w:color w:val="000000"/>
          <w:sz w:val="28"/>
          <w:szCs w:val="28"/>
          <w:lang w:val="en-US"/>
        </w:rPr>
      </w:pPr>
      <w:r>
        <w:rPr>
          <w:color w:val="000000"/>
          <w:sz w:val="28"/>
          <w:szCs w:val="28"/>
          <w:lang w:val="en-US"/>
        </w:rPr>
        <w:t>Scale for the assessment of exam tasks</w:t>
      </w:r>
    </w:p>
    <w:tbl>
      <w:tblPr>
        <w:tblStyle w:val="7"/>
        <w:tblW w:w="9615" w:type="dxa"/>
        <w:tblInd w:w="16"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2355"/>
        <w:gridCol w:w="1785"/>
        <w:gridCol w:w="5475"/>
      </w:tblGrid>
      <w:tr w14:paraId="40C212F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0" w:type="dxa"/>
            <w:left w:w="0" w:type="dxa"/>
            <w:bottom w:w="0" w:type="dxa"/>
            <w:right w:w="0" w:type="dxa"/>
          </w:tblCellMar>
        </w:tblPrEx>
        <w:tc>
          <w:tcPr>
            <w:tcW w:w="2355" w:type="dxa"/>
            <w:tcBorders>
              <w:top w:val="outset" w:color="auto" w:sz="6" w:space="0"/>
              <w:left w:val="outset" w:color="auto" w:sz="6" w:space="0"/>
              <w:bottom w:val="outset" w:color="auto" w:sz="6" w:space="0"/>
              <w:right w:val="outset" w:color="auto" w:sz="6" w:space="0"/>
            </w:tcBorders>
            <w:shd w:val="clear" w:color="auto" w:fill="FFFFFF"/>
            <w:vAlign w:val="center"/>
          </w:tcPr>
          <w:p w14:paraId="3E39ED15">
            <w:pPr>
              <w:widowControl w:val="0"/>
              <w:autoSpaceDE w:val="0"/>
              <w:autoSpaceDN w:val="0"/>
              <w:adjustRightInd w:val="0"/>
              <w:jc w:val="center"/>
              <w:rPr>
                <w:sz w:val="28"/>
                <w:szCs w:val="28"/>
                <w:lang w:val="en-US" w:eastAsia="uk-UA"/>
              </w:rPr>
            </w:pPr>
            <w:r>
              <w:rPr>
                <w:sz w:val="28"/>
                <w:szCs w:val="28"/>
                <w:lang w:val="en-US" w:eastAsia="uk-UA"/>
              </w:rPr>
              <w:t>Scale</w:t>
            </w:r>
          </w:p>
        </w:tc>
        <w:tc>
          <w:tcPr>
            <w:tcW w:w="1785" w:type="dxa"/>
            <w:tcBorders>
              <w:top w:val="outset" w:color="auto" w:sz="6" w:space="0"/>
              <w:left w:val="outset" w:color="auto" w:sz="6" w:space="0"/>
              <w:bottom w:val="outset" w:color="auto" w:sz="6" w:space="0"/>
              <w:right w:val="outset" w:color="auto" w:sz="6" w:space="0"/>
            </w:tcBorders>
            <w:shd w:val="clear" w:color="auto" w:fill="FFFFFF"/>
            <w:vAlign w:val="center"/>
          </w:tcPr>
          <w:p w14:paraId="4F490AD5">
            <w:pPr>
              <w:widowControl w:val="0"/>
              <w:autoSpaceDE w:val="0"/>
              <w:autoSpaceDN w:val="0"/>
              <w:adjustRightInd w:val="0"/>
              <w:jc w:val="center"/>
              <w:rPr>
                <w:sz w:val="28"/>
                <w:szCs w:val="28"/>
                <w:lang w:val="en-GB"/>
              </w:rPr>
            </w:pPr>
            <w:r>
              <w:rPr>
                <w:sz w:val="28"/>
                <w:szCs w:val="28"/>
                <w:lang w:val="en-GB"/>
              </w:rPr>
              <w:t>Total points</w:t>
            </w:r>
          </w:p>
        </w:tc>
        <w:tc>
          <w:tcPr>
            <w:tcW w:w="5475" w:type="dxa"/>
            <w:tcBorders>
              <w:top w:val="outset" w:color="auto" w:sz="6" w:space="0"/>
              <w:left w:val="outset" w:color="auto" w:sz="6" w:space="0"/>
              <w:bottom w:val="outset" w:color="auto" w:sz="6" w:space="0"/>
              <w:right w:val="outset" w:color="auto" w:sz="6" w:space="0"/>
            </w:tcBorders>
            <w:shd w:val="clear" w:color="auto" w:fill="FFFFFF"/>
            <w:vAlign w:val="center"/>
          </w:tcPr>
          <w:p w14:paraId="40315CCE">
            <w:pPr>
              <w:widowControl w:val="0"/>
              <w:autoSpaceDE w:val="0"/>
              <w:autoSpaceDN w:val="0"/>
              <w:adjustRightInd w:val="0"/>
              <w:jc w:val="center"/>
              <w:rPr>
                <w:sz w:val="28"/>
                <w:szCs w:val="28"/>
                <w:lang w:val="en-US" w:eastAsia="uk-UA"/>
              </w:rPr>
            </w:pPr>
            <w:r>
              <w:rPr>
                <w:sz w:val="28"/>
                <w:szCs w:val="28"/>
                <w:lang w:val="en-US" w:eastAsia="uk-UA"/>
              </w:rPr>
              <w:t>Criteria</w:t>
            </w:r>
          </w:p>
        </w:tc>
      </w:tr>
      <w:tr w14:paraId="23722FB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2355" w:type="dxa"/>
            <w:tcBorders>
              <w:top w:val="outset" w:color="auto" w:sz="6" w:space="0"/>
              <w:left w:val="outset" w:color="auto" w:sz="6" w:space="0"/>
              <w:bottom w:val="outset" w:color="auto" w:sz="6" w:space="0"/>
              <w:right w:val="outset" w:color="auto" w:sz="6" w:space="0"/>
            </w:tcBorders>
            <w:shd w:val="clear" w:color="auto" w:fill="FFFFFF"/>
          </w:tcPr>
          <w:p w14:paraId="705F710A">
            <w:pPr>
              <w:widowControl w:val="0"/>
              <w:autoSpaceDE w:val="0"/>
              <w:autoSpaceDN w:val="0"/>
              <w:adjustRightInd w:val="0"/>
              <w:jc w:val="center"/>
              <w:rPr>
                <w:sz w:val="28"/>
                <w:szCs w:val="28"/>
                <w:lang w:val="en-US" w:eastAsia="uk-UA"/>
              </w:rPr>
            </w:pPr>
            <w:r>
              <w:rPr>
                <w:sz w:val="28"/>
                <w:szCs w:val="28"/>
                <w:lang w:val="en-US" w:eastAsia="uk-UA"/>
              </w:rPr>
              <w:t>Excellent level</w:t>
            </w:r>
          </w:p>
        </w:tc>
        <w:tc>
          <w:tcPr>
            <w:tcW w:w="1785" w:type="dxa"/>
            <w:tcBorders>
              <w:top w:val="outset" w:color="auto" w:sz="6" w:space="0"/>
              <w:left w:val="outset" w:color="auto" w:sz="6" w:space="0"/>
              <w:bottom w:val="outset" w:color="auto" w:sz="6" w:space="0"/>
              <w:right w:val="outset" w:color="auto" w:sz="6" w:space="0"/>
            </w:tcBorders>
            <w:shd w:val="clear" w:color="auto" w:fill="FFFFFF"/>
          </w:tcPr>
          <w:p w14:paraId="18807383">
            <w:pPr>
              <w:widowControl w:val="0"/>
              <w:autoSpaceDE w:val="0"/>
              <w:autoSpaceDN w:val="0"/>
              <w:adjustRightInd w:val="0"/>
              <w:jc w:val="center"/>
              <w:rPr>
                <w:sz w:val="28"/>
                <w:szCs w:val="28"/>
                <w:lang w:val="en-GB"/>
              </w:rPr>
            </w:pPr>
            <w:r>
              <w:rPr>
                <w:sz w:val="28"/>
                <w:szCs w:val="28"/>
                <w:lang w:val="en-GB"/>
              </w:rPr>
              <w:t>30–40</w:t>
            </w:r>
          </w:p>
        </w:tc>
        <w:tc>
          <w:tcPr>
            <w:tcW w:w="5475" w:type="dxa"/>
            <w:tcBorders>
              <w:top w:val="outset" w:color="auto" w:sz="6" w:space="0"/>
              <w:left w:val="outset" w:color="auto" w:sz="6" w:space="0"/>
              <w:bottom w:val="outset" w:color="auto" w:sz="6" w:space="0"/>
              <w:right w:val="outset" w:color="auto" w:sz="6" w:space="0"/>
            </w:tcBorders>
            <w:shd w:val="clear" w:color="auto" w:fill="FFFFFF"/>
          </w:tcPr>
          <w:p w14:paraId="12DC2B34">
            <w:pPr>
              <w:widowControl w:val="0"/>
              <w:autoSpaceDE w:val="0"/>
              <w:autoSpaceDN w:val="0"/>
              <w:adjustRightInd w:val="0"/>
              <w:jc w:val="both"/>
              <w:rPr>
                <w:sz w:val="28"/>
                <w:szCs w:val="28"/>
                <w:lang w:val="en-US" w:eastAsia="uk-UA"/>
              </w:rPr>
            </w:pPr>
            <w:r>
              <w:rPr>
                <w:sz w:val="28"/>
                <w:szCs w:val="28"/>
                <w:lang w:val="en-US" w:eastAsia="uk-UA"/>
              </w:rPr>
              <w:t>The task is completed with high quality; the student has achieved the maximum score in the assessment of theoretical knowledge.</w:t>
            </w:r>
          </w:p>
        </w:tc>
      </w:tr>
      <w:tr w14:paraId="7D02F79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0" w:type="dxa"/>
            <w:left w:w="0" w:type="dxa"/>
            <w:bottom w:w="0" w:type="dxa"/>
            <w:right w:w="0" w:type="dxa"/>
          </w:tblCellMar>
        </w:tblPrEx>
        <w:tc>
          <w:tcPr>
            <w:tcW w:w="2355" w:type="dxa"/>
            <w:tcBorders>
              <w:top w:val="outset" w:color="auto" w:sz="6" w:space="0"/>
              <w:left w:val="outset" w:color="auto" w:sz="6" w:space="0"/>
              <w:bottom w:val="outset" w:color="auto" w:sz="6" w:space="0"/>
              <w:right w:val="outset" w:color="auto" w:sz="6" w:space="0"/>
            </w:tcBorders>
            <w:shd w:val="clear" w:color="auto" w:fill="FFFFFF"/>
          </w:tcPr>
          <w:p w14:paraId="6E9DB122">
            <w:pPr>
              <w:widowControl w:val="0"/>
              <w:autoSpaceDE w:val="0"/>
              <w:autoSpaceDN w:val="0"/>
              <w:adjustRightInd w:val="0"/>
              <w:jc w:val="center"/>
              <w:rPr>
                <w:sz w:val="28"/>
                <w:szCs w:val="28"/>
                <w:lang w:val="en-US" w:eastAsia="uk-UA"/>
              </w:rPr>
            </w:pPr>
            <w:r>
              <w:rPr>
                <w:sz w:val="28"/>
                <w:szCs w:val="28"/>
                <w:lang w:val="en-US" w:eastAsia="uk-UA"/>
              </w:rPr>
              <w:t>Good level</w:t>
            </w:r>
          </w:p>
        </w:tc>
        <w:tc>
          <w:tcPr>
            <w:tcW w:w="1785" w:type="dxa"/>
            <w:tcBorders>
              <w:top w:val="outset" w:color="auto" w:sz="6" w:space="0"/>
              <w:left w:val="outset" w:color="auto" w:sz="6" w:space="0"/>
              <w:bottom w:val="outset" w:color="auto" w:sz="6" w:space="0"/>
              <w:right w:val="outset" w:color="auto" w:sz="6" w:space="0"/>
            </w:tcBorders>
            <w:shd w:val="clear" w:color="auto" w:fill="FFFFFF"/>
          </w:tcPr>
          <w:p w14:paraId="32A158E4">
            <w:pPr>
              <w:widowControl w:val="0"/>
              <w:autoSpaceDE w:val="0"/>
              <w:autoSpaceDN w:val="0"/>
              <w:adjustRightInd w:val="0"/>
              <w:jc w:val="center"/>
              <w:rPr>
                <w:sz w:val="28"/>
                <w:szCs w:val="28"/>
                <w:lang w:val="en-GB"/>
              </w:rPr>
            </w:pPr>
            <w:r>
              <w:rPr>
                <w:sz w:val="28"/>
                <w:szCs w:val="28"/>
                <w:lang w:val="en-GB"/>
              </w:rPr>
              <w:t>20–29</w:t>
            </w:r>
          </w:p>
        </w:tc>
        <w:tc>
          <w:tcPr>
            <w:tcW w:w="5475" w:type="dxa"/>
            <w:tcBorders>
              <w:top w:val="outset" w:color="auto" w:sz="6" w:space="0"/>
              <w:left w:val="outset" w:color="auto" w:sz="6" w:space="0"/>
              <w:bottom w:val="outset" w:color="auto" w:sz="6" w:space="0"/>
              <w:right w:val="outset" w:color="auto" w:sz="6" w:space="0"/>
            </w:tcBorders>
            <w:shd w:val="clear" w:color="auto" w:fill="FFFFFF"/>
          </w:tcPr>
          <w:p w14:paraId="72DC0043">
            <w:pPr>
              <w:widowControl w:val="0"/>
              <w:autoSpaceDE w:val="0"/>
              <w:autoSpaceDN w:val="0"/>
              <w:adjustRightInd w:val="0"/>
              <w:jc w:val="both"/>
              <w:rPr>
                <w:sz w:val="28"/>
                <w:szCs w:val="28"/>
                <w:lang w:val="en-US" w:eastAsia="uk-UA"/>
              </w:rPr>
            </w:pPr>
            <w:r>
              <w:rPr>
                <w:sz w:val="28"/>
                <w:szCs w:val="28"/>
                <w:lang w:val="en-US" w:eastAsia="uk-UA"/>
              </w:rPr>
              <w:t>The task is completed with high quality and a sufficiently high proportion of correct answers.</w:t>
            </w:r>
          </w:p>
        </w:tc>
      </w:tr>
      <w:tr w14:paraId="6FDAE8F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0" w:type="dxa"/>
            <w:left w:w="0" w:type="dxa"/>
            <w:bottom w:w="0" w:type="dxa"/>
            <w:right w:w="0" w:type="dxa"/>
          </w:tblCellMar>
        </w:tblPrEx>
        <w:tc>
          <w:tcPr>
            <w:tcW w:w="2355" w:type="dxa"/>
            <w:tcBorders>
              <w:top w:val="outset" w:color="auto" w:sz="6" w:space="0"/>
              <w:left w:val="outset" w:color="auto" w:sz="6" w:space="0"/>
              <w:bottom w:val="outset" w:color="auto" w:sz="6" w:space="0"/>
              <w:right w:val="outset" w:color="auto" w:sz="6" w:space="0"/>
            </w:tcBorders>
            <w:shd w:val="clear" w:color="auto" w:fill="FFFFFF"/>
          </w:tcPr>
          <w:p w14:paraId="75E10909">
            <w:pPr>
              <w:widowControl w:val="0"/>
              <w:autoSpaceDE w:val="0"/>
              <w:autoSpaceDN w:val="0"/>
              <w:adjustRightInd w:val="0"/>
              <w:jc w:val="center"/>
              <w:rPr>
                <w:sz w:val="28"/>
                <w:szCs w:val="28"/>
                <w:lang w:val="en-US" w:eastAsia="uk-UA"/>
              </w:rPr>
            </w:pPr>
            <w:r>
              <w:rPr>
                <w:sz w:val="28"/>
                <w:szCs w:val="28"/>
                <w:lang w:val="en-US" w:eastAsia="uk-UA"/>
              </w:rPr>
              <w:t>Satisfactory level</w:t>
            </w:r>
          </w:p>
        </w:tc>
        <w:tc>
          <w:tcPr>
            <w:tcW w:w="1785" w:type="dxa"/>
            <w:tcBorders>
              <w:top w:val="outset" w:color="auto" w:sz="6" w:space="0"/>
              <w:left w:val="outset" w:color="auto" w:sz="6" w:space="0"/>
              <w:bottom w:val="outset" w:color="auto" w:sz="6" w:space="0"/>
              <w:right w:val="outset" w:color="auto" w:sz="6" w:space="0"/>
            </w:tcBorders>
            <w:shd w:val="clear" w:color="auto" w:fill="FFFFFF"/>
          </w:tcPr>
          <w:p w14:paraId="55248C7D">
            <w:pPr>
              <w:widowControl w:val="0"/>
              <w:autoSpaceDE w:val="0"/>
              <w:autoSpaceDN w:val="0"/>
              <w:adjustRightInd w:val="0"/>
              <w:jc w:val="center"/>
              <w:rPr>
                <w:sz w:val="28"/>
                <w:szCs w:val="28"/>
                <w:lang w:val="en-GB"/>
              </w:rPr>
            </w:pPr>
            <w:r>
              <w:rPr>
                <w:sz w:val="28"/>
                <w:szCs w:val="28"/>
                <w:lang w:val="en-GB"/>
              </w:rPr>
              <w:t>10–19</w:t>
            </w:r>
          </w:p>
        </w:tc>
        <w:tc>
          <w:tcPr>
            <w:tcW w:w="5475" w:type="dxa"/>
            <w:tcBorders>
              <w:top w:val="outset" w:color="auto" w:sz="6" w:space="0"/>
              <w:left w:val="outset" w:color="auto" w:sz="6" w:space="0"/>
              <w:bottom w:val="outset" w:color="auto" w:sz="6" w:space="0"/>
              <w:right w:val="outset" w:color="auto" w:sz="6" w:space="0"/>
            </w:tcBorders>
            <w:shd w:val="clear" w:color="auto" w:fill="FFFFFF"/>
          </w:tcPr>
          <w:p w14:paraId="762E78BD">
            <w:pPr>
              <w:widowControl w:val="0"/>
              <w:autoSpaceDE w:val="0"/>
              <w:autoSpaceDN w:val="0"/>
              <w:adjustRightInd w:val="0"/>
              <w:jc w:val="both"/>
              <w:rPr>
                <w:sz w:val="28"/>
                <w:szCs w:val="28"/>
                <w:lang w:val="en-US" w:eastAsia="uk-UA"/>
              </w:rPr>
            </w:pPr>
            <w:r>
              <w:rPr>
                <w:sz w:val="28"/>
                <w:szCs w:val="28"/>
                <w:lang w:val="en-US" w:eastAsia="uk-UA"/>
              </w:rPr>
              <w:t>The task is completed with an average number of correct answers; the student has demonstrated theoretical knowledge with significant errors.</w:t>
            </w:r>
          </w:p>
        </w:tc>
      </w:tr>
      <w:tr w14:paraId="57D6FA3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0" w:type="dxa"/>
            <w:left w:w="0" w:type="dxa"/>
            <w:bottom w:w="0" w:type="dxa"/>
            <w:right w:w="0" w:type="dxa"/>
          </w:tblCellMar>
        </w:tblPrEx>
        <w:tc>
          <w:tcPr>
            <w:tcW w:w="2355" w:type="dxa"/>
            <w:tcBorders>
              <w:top w:val="outset" w:color="auto" w:sz="6" w:space="0"/>
              <w:left w:val="outset" w:color="auto" w:sz="6" w:space="0"/>
              <w:bottom w:val="outset" w:color="auto" w:sz="6" w:space="0"/>
              <w:right w:val="outset" w:color="auto" w:sz="6" w:space="0"/>
            </w:tcBorders>
            <w:shd w:val="clear" w:color="auto" w:fill="FFFFFF"/>
          </w:tcPr>
          <w:p w14:paraId="3C291557">
            <w:pPr>
              <w:widowControl w:val="0"/>
              <w:autoSpaceDE w:val="0"/>
              <w:autoSpaceDN w:val="0"/>
              <w:adjustRightInd w:val="0"/>
              <w:jc w:val="center"/>
              <w:rPr>
                <w:sz w:val="28"/>
                <w:szCs w:val="28"/>
                <w:lang w:val="en-US" w:eastAsia="uk-UA"/>
              </w:rPr>
            </w:pPr>
            <w:r>
              <w:rPr>
                <w:sz w:val="28"/>
                <w:szCs w:val="28"/>
                <w:lang w:val="en-US" w:eastAsia="uk-UA"/>
              </w:rPr>
              <w:t>Unsatisfactory level</w:t>
            </w:r>
          </w:p>
        </w:tc>
        <w:tc>
          <w:tcPr>
            <w:tcW w:w="1785" w:type="dxa"/>
            <w:tcBorders>
              <w:top w:val="outset" w:color="auto" w:sz="6" w:space="0"/>
              <w:left w:val="outset" w:color="auto" w:sz="6" w:space="0"/>
              <w:bottom w:val="outset" w:color="auto" w:sz="6" w:space="0"/>
              <w:right w:val="outset" w:color="auto" w:sz="6" w:space="0"/>
            </w:tcBorders>
            <w:shd w:val="clear" w:color="auto" w:fill="FFFFFF"/>
          </w:tcPr>
          <w:p w14:paraId="0F2485F2">
            <w:pPr>
              <w:widowControl w:val="0"/>
              <w:autoSpaceDE w:val="0"/>
              <w:autoSpaceDN w:val="0"/>
              <w:adjustRightInd w:val="0"/>
              <w:jc w:val="center"/>
              <w:rPr>
                <w:sz w:val="28"/>
                <w:szCs w:val="28"/>
                <w:lang w:val="en-GB"/>
              </w:rPr>
            </w:pPr>
            <w:r>
              <w:rPr>
                <w:sz w:val="28"/>
                <w:szCs w:val="28"/>
                <w:lang w:val="en-GB"/>
              </w:rPr>
              <w:t>0–9</w:t>
            </w:r>
          </w:p>
        </w:tc>
        <w:tc>
          <w:tcPr>
            <w:tcW w:w="5475" w:type="dxa"/>
            <w:tcBorders>
              <w:top w:val="outset" w:color="auto" w:sz="6" w:space="0"/>
              <w:left w:val="outset" w:color="auto" w:sz="6" w:space="0"/>
              <w:bottom w:val="outset" w:color="auto" w:sz="6" w:space="0"/>
              <w:right w:val="outset" w:color="auto" w:sz="6" w:space="0"/>
            </w:tcBorders>
            <w:shd w:val="clear" w:color="auto" w:fill="FFFFFF"/>
          </w:tcPr>
          <w:p w14:paraId="07335881">
            <w:pPr>
              <w:widowControl w:val="0"/>
              <w:autoSpaceDE w:val="0"/>
              <w:autoSpaceDN w:val="0"/>
              <w:adjustRightInd w:val="0"/>
              <w:jc w:val="both"/>
              <w:rPr>
                <w:sz w:val="28"/>
                <w:szCs w:val="28"/>
                <w:lang w:val="en-US" w:eastAsia="uk-UA"/>
              </w:rPr>
            </w:pPr>
            <w:r>
              <w:rPr>
                <w:sz w:val="28"/>
                <w:szCs w:val="28"/>
                <w:lang w:val="en-US" w:eastAsia="uk-UA"/>
              </w:rPr>
              <w:t>The task is not completed; the student has demonstrated theoretical knowledge with major errors.</w:t>
            </w:r>
          </w:p>
        </w:tc>
      </w:tr>
    </w:tbl>
    <w:p w14:paraId="6D4925E1">
      <w:pPr>
        <w:ind w:firstLine="720"/>
        <w:jc w:val="both"/>
        <w:rPr>
          <w:color w:val="000000"/>
          <w:sz w:val="28"/>
          <w:szCs w:val="28"/>
          <w:lang w:val="en-US"/>
        </w:rPr>
      </w:pPr>
    </w:p>
    <w:p w14:paraId="2A3F2126">
      <w:pPr>
        <w:pBdr>
          <w:top w:val="none" w:color="auto" w:sz="0" w:space="0"/>
          <w:left w:val="none" w:color="auto" w:sz="0" w:space="0"/>
          <w:bottom w:val="none" w:color="auto" w:sz="0" w:space="0"/>
          <w:right w:val="none" w:color="auto" w:sz="0" w:space="0"/>
          <w:between w:val="none" w:color="auto" w:sz="0" w:space="0"/>
        </w:pBdr>
        <w:ind w:firstLine="720"/>
        <w:jc w:val="both"/>
        <w:rPr>
          <w:color w:val="000000"/>
          <w:sz w:val="28"/>
          <w:szCs w:val="28"/>
          <w:lang w:val="en-US"/>
        </w:rPr>
      </w:pPr>
      <w:r>
        <w:rPr>
          <w:b/>
          <w:bCs/>
          <w:color w:val="000000"/>
          <w:sz w:val="28"/>
          <w:szCs w:val="28"/>
          <w:lang w:val="en-US"/>
        </w:rPr>
        <w:t>Assessment of additional (individual) types of educational activities.</w:t>
      </w:r>
      <w:r>
        <w:rPr>
          <w:color w:val="000000"/>
          <w:sz w:val="28"/>
          <w:szCs w:val="28"/>
          <w:lang w:val="en-US"/>
        </w:rPr>
        <w:t xml:space="preserve"> Additional (individual) types of educational activity include student participation in scientific conferences, research societies and problem groups, preparation of publications, and other activities beyond the tasks defined in the syllabus of the academic discipline.</w:t>
      </w:r>
    </w:p>
    <w:p w14:paraId="52E784BF">
      <w:pPr>
        <w:pBdr>
          <w:top w:val="none" w:color="auto" w:sz="0" w:space="0"/>
          <w:left w:val="none" w:color="auto" w:sz="0" w:space="0"/>
          <w:bottom w:val="none" w:color="auto" w:sz="0" w:space="0"/>
          <w:right w:val="none" w:color="auto" w:sz="0" w:space="0"/>
          <w:between w:val="none" w:color="auto" w:sz="0" w:space="0"/>
        </w:pBdr>
        <w:ind w:firstLine="720"/>
        <w:jc w:val="both"/>
        <w:rPr>
          <w:color w:val="000000"/>
          <w:sz w:val="28"/>
          <w:szCs w:val="28"/>
          <w:lang w:val="en-US"/>
        </w:rPr>
      </w:pPr>
      <w:r>
        <w:rPr>
          <w:color w:val="000000"/>
          <w:sz w:val="28"/>
          <w:szCs w:val="28"/>
          <w:lang w:val="en-US"/>
        </w:rPr>
        <w:t>By decision of the department, students who engage in research work or complete certain types of additional (individual) educational activities may receive incentive (bonus) points for a specific educational component.</w:t>
      </w:r>
    </w:p>
    <w:p w14:paraId="16DC7A57">
      <w:pPr>
        <w:pBdr>
          <w:top w:val="none" w:color="auto" w:sz="0" w:space="0"/>
          <w:left w:val="none" w:color="auto" w:sz="0" w:space="0"/>
          <w:bottom w:val="none" w:color="auto" w:sz="0" w:space="0"/>
          <w:right w:val="none" w:color="auto" w:sz="0" w:space="0"/>
          <w:between w:val="none" w:color="auto" w:sz="0" w:space="0"/>
        </w:pBdr>
        <w:ind w:firstLine="720"/>
        <w:jc w:val="both"/>
        <w:rPr>
          <w:color w:val="000000"/>
          <w:sz w:val="28"/>
          <w:szCs w:val="28"/>
          <w:lang w:val="en-US"/>
        </w:rPr>
      </w:pPr>
      <w:r>
        <w:rPr>
          <w:color w:val="000000"/>
          <w:sz w:val="28"/>
          <w:szCs w:val="28"/>
          <w:lang w:val="en-US"/>
        </w:rPr>
        <w:t>Incentive points are not mandatory and are not included in the standard point distribution table or the main assessment scale.</w:t>
      </w:r>
    </w:p>
    <w:p w14:paraId="234E251D">
      <w:pPr>
        <w:pBdr>
          <w:top w:val="none" w:color="auto" w:sz="0" w:space="0"/>
          <w:left w:val="none" w:color="auto" w:sz="0" w:space="0"/>
          <w:bottom w:val="none" w:color="auto" w:sz="0" w:space="0"/>
          <w:right w:val="none" w:color="auto" w:sz="0" w:space="0"/>
          <w:between w:val="none" w:color="auto" w:sz="0" w:space="0"/>
        </w:pBdr>
        <w:ind w:firstLine="720"/>
        <w:jc w:val="both"/>
        <w:rPr>
          <w:color w:val="000000"/>
          <w:sz w:val="28"/>
          <w:szCs w:val="28"/>
          <w:lang w:val="en-US"/>
        </w:rPr>
      </w:pPr>
      <w:r>
        <w:rPr>
          <w:color w:val="000000"/>
          <w:sz w:val="28"/>
          <w:szCs w:val="28"/>
          <w:lang w:val="en-US"/>
        </w:rPr>
        <w:t>A single event may serve as the basis for awarding incentive points for only one educational component – the one to which it is most relevant.</w:t>
      </w:r>
    </w:p>
    <w:p w14:paraId="07F28448">
      <w:pPr>
        <w:pBdr>
          <w:top w:val="none" w:color="auto" w:sz="0" w:space="0"/>
          <w:left w:val="none" w:color="auto" w:sz="0" w:space="0"/>
          <w:bottom w:val="none" w:color="auto" w:sz="0" w:space="0"/>
          <w:right w:val="none" w:color="auto" w:sz="0" w:space="0"/>
          <w:between w:val="none" w:color="auto" w:sz="0" w:space="0"/>
        </w:pBdr>
        <w:ind w:firstLine="720"/>
        <w:jc w:val="both"/>
        <w:rPr>
          <w:b/>
          <w:bCs/>
          <w:color w:val="000000"/>
          <w:sz w:val="28"/>
          <w:szCs w:val="28"/>
          <w:lang w:val="en-US"/>
        </w:rPr>
      </w:pPr>
    </w:p>
    <w:p w14:paraId="7DC98137">
      <w:pPr>
        <w:pBdr>
          <w:top w:val="none" w:color="auto" w:sz="0" w:space="0"/>
          <w:left w:val="none" w:color="auto" w:sz="0" w:space="0"/>
          <w:bottom w:val="none" w:color="auto" w:sz="0" w:space="0"/>
          <w:right w:val="none" w:color="auto" w:sz="0" w:space="0"/>
          <w:between w:val="none" w:color="auto" w:sz="0" w:space="0"/>
        </w:pBdr>
        <w:ind w:firstLine="720"/>
        <w:jc w:val="both"/>
        <w:rPr>
          <w:color w:val="000000"/>
          <w:sz w:val="28"/>
          <w:szCs w:val="28"/>
          <w:lang w:val="en-US"/>
        </w:rPr>
      </w:pPr>
      <w:r>
        <w:rPr>
          <w:b/>
          <w:bCs/>
          <w:color w:val="000000"/>
          <w:sz w:val="28"/>
          <w:szCs w:val="28"/>
          <w:lang w:val="en-US"/>
        </w:rPr>
        <w:t>Assessment of independent work</w:t>
      </w:r>
    </w:p>
    <w:p w14:paraId="366F0AA0">
      <w:pPr>
        <w:pBdr>
          <w:top w:val="none" w:color="auto" w:sz="0" w:space="0"/>
          <w:left w:val="none" w:color="auto" w:sz="0" w:space="0"/>
          <w:bottom w:val="none" w:color="auto" w:sz="0" w:space="0"/>
          <w:right w:val="none" w:color="auto" w:sz="0" w:space="0"/>
          <w:between w:val="none" w:color="auto" w:sz="0" w:space="0"/>
        </w:pBdr>
        <w:ind w:firstLine="720"/>
        <w:jc w:val="both"/>
        <w:rPr>
          <w:color w:val="000000"/>
          <w:sz w:val="28"/>
          <w:szCs w:val="28"/>
          <w:lang w:val="en-US"/>
        </w:rPr>
      </w:pPr>
      <w:r>
        <w:rPr>
          <w:color w:val="000000"/>
          <w:sz w:val="28"/>
          <w:szCs w:val="28"/>
          <w:lang w:val="en-US"/>
        </w:rPr>
        <w:t>The total number of points earned by a student for completing independent work is one of the components of academic performance in the discipline. Independent work for each topic, in accordance with the course program, is evaluated within the range of 0 to 1 points using standardized and generalized knowledge assessment criteria.</w:t>
      </w:r>
    </w:p>
    <w:p w14:paraId="5CF7687A">
      <w:pPr>
        <w:pBdr>
          <w:top w:val="none" w:color="auto" w:sz="0" w:space="0"/>
          <w:left w:val="none" w:color="auto" w:sz="0" w:space="0"/>
          <w:bottom w:val="none" w:color="auto" w:sz="0" w:space="0"/>
          <w:right w:val="none" w:color="auto" w:sz="0" w:space="0"/>
          <w:between w:val="none" w:color="auto" w:sz="0" w:space="0"/>
        </w:pBdr>
        <w:ind w:firstLine="720"/>
        <w:jc w:val="both"/>
        <w:rPr>
          <w:color w:val="000000"/>
          <w:sz w:val="28"/>
          <w:szCs w:val="28"/>
          <w:lang w:val="en-US"/>
        </w:rPr>
      </w:pPr>
    </w:p>
    <w:p w14:paraId="1A6FEDAF">
      <w:pPr>
        <w:pBdr>
          <w:top w:val="none" w:color="auto" w:sz="0" w:space="0"/>
          <w:left w:val="none" w:color="auto" w:sz="0" w:space="0"/>
          <w:bottom w:val="none" w:color="auto" w:sz="0" w:space="0"/>
          <w:right w:val="none" w:color="auto" w:sz="0" w:space="0"/>
          <w:between w:val="none" w:color="auto" w:sz="0" w:space="0"/>
        </w:pBdr>
        <w:ind w:firstLine="720"/>
        <w:jc w:val="both"/>
        <w:rPr>
          <w:color w:val="000000"/>
          <w:sz w:val="28"/>
          <w:szCs w:val="28"/>
          <w:lang w:val="en-US"/>
        </w:rPr>
      </w:pPr>
      <w:r>
        <w:rPr>
          <w:color w:val="000000"/>
          <w:sz w:val="28"/>
          <w:szCs w:val="28"/>
          <w:lang w:val="en-US"/>
        </w:rPr>
        <w:t>Scale for evaluating the performance of independent work (individual tasks)</w:t>
      </w:r>
    </w:p>
    <w:tbl>
      <w:tblPr>
        <w:tblStyle w:val="7"/>
        <w:tblW w:w="9481" w:type="dxa"/>
        <w:tblInd w:w="55" w:type="dxa"/>
        <w:tblLayout w:type="fixed"/>
        <w:tblCellMar>
          <w:top w:w="0" w:type="dxa"/>
          <w:left w:w="108" w:type="dxa"/>
          <w:bottom w:w="0" w:type="dxa"/>
          <w:right w:w="108" w:type="dxa"/>
        </w:tblCellMar>
      </w:tblPr>
      <w:tblGrid>
        <w:gridCol w:w="2592"/>
        <w:gridCol w:w="1689"/>
        <w:gridCol w:w="1509"/>
        <w:gridCol w:w="1710"/>
        <w:gridCol w:w="1981"/>
      </w:tblGrid>
      <w:tr w14:paraId="501A8FEE">
        <w:tblPrEx>
          <w:tblCellMar>
            <w:top w:w="0" w:type="dxa"/>
            <w:left w:w="108" w:type="dxa"/>
            <w:bottom w:w="0" w:type="dxa"/>
            <w:right w:w="108" w:type="dxa"/>
          </w:tblCellMar>
        </w:tblPrEx>
        <w:tc>
          <w:tcPr>
            <w:tcW w:w="2592" w:type="dxa"/>
            <w:vMerge w:val="restart"/>
            <w:tcBorders>
              <w:top w:val="single" w:color="000000" w:sz="4" w:space="0"/>
              <w:left w:val="single" w:color="000000" w:sz="4" w:space="0"/>
              <w:bottom w:val="single" w:color="000000" w:sz="4" w:space="0"/>
            </w:tcBorders>
          </w:tcPr>
          <w:p w14:paraId="52FE127D">
            <w:pPr>
              <w:pBdr>
                <w:top w:val="none" w:color="auto" w:sz="0" w:space="0"/>
                <w:left w:val="none" w:color="auto" w:sz="0" w:space="0"/>
                <w:bottom w:val="none" w:color="auto" w:sz="0" w:space="0"/>
                <w:right w:val="none" w:color="auto" w:sz="0" w:space="0"/>
                <w:between w:val="none" w:color="auto" w:sz="0" w:space="0"/>
              </w:pBdr>
              <w:jc w:val="both"/>
              <w:rPr>
                <w:color w:val="000000"/>
                <w:sz w:val="28"/>
                <w:szCs w:val="28"/>
                <w:lang w:val="en-US"/>
              </w:rPr>
            </w:pPr>
            <w:r>
              <w:rPr>
                <w:color w:val="000000"/>
                <w:sz w:val="28"/>
                <w:szCs w:val="28"/>
                <w:lang w:val="en-US"/>
              </w:rPr>
              <w:t>The maximum possible assessment of independent work (individual tasks)</w:t>
            </w:r>
          </w:p>
        </w:tc>
        <w:tc>
          <w:tcPr>
            <w:tcW w:w="6889" w:type="dxa"/>
            <w:gridSpan w:val="4"/>
            <w:tcBorders>
              <w:top w:val="single" w:color="000000" w:sz="4" w:space="0"/>
              <w:left w:val="single" w:color="000000" w:sz="4" w:space="0"/>
              <w:bottom w:val="single" w:color="000000" w:sz="4" w:space="0"/>
              <w:right w:val="single" w:color="000000" w:sz="4" w:space="0"/>
            </w:tcBorders>
            <w:vAlign w:val="center"/>
          </w:tcPr>
          <w:p w14:paraId="78181CEC">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lang w:val="en-US"/>
              </w:rPr>
            </w:pPr>
            <w:r>
              <w:rPr>
                <w:color w:val="000000"/>
                <w:sz w:val="28"/>
                <w:szCs w:val="28"/>
                <w:lang w:val="en-US"/>
              </w:rPr>
              <w:t>Execution level</w:t>
            </w:r>
          </w:p>
        </w:tc>
      </w:tr>
      <w:tr w14:paraId="370FD006">
        <w:tblPrEx>
          <w:tblCellMar>
            <w:top w:w="0" w:type="dxa"/>
            <w:left w:w="108" w:type="dxa"/>
            <w:bottom w:w="0" w:type="dxa"/>
            <w:right w:w="108" w:type="dxa"/>
          </w:tblCellMar>
        </w:tblPrEx>
        <w:tc>
          <w:tcPr>
            <w:tcW w:w="2592" w:type="dxa"/>
            <w:vMerge w:val="continue"/>
            <w:tcBorders>
              <w:top w:val="single" w:color="000000" w:sz="4" w:space="0"/>
              <w:left w:val="single" w:color="000000" w:sz="4" w:space="0"/>
              <w:bottom w:val="single" w:color="000000" w:sz="4" w:space="0"/>
            </w:tcBorders>
          </w:tcPr>
          <w:p w14:paraId="26108397">
            <w:pPr>
              <w:widowControl w:val="0"/>
              <w:pBdr>
                <w:top w:val="none" w:color="auto" w:sz="0" w:space="0"/>
                <w:left w:val="none" w:color="auto" w:sz="0" w:space="0"/>
                <w:bottom w:val="none" w:color="auto" w:sz="0" w:space="0"/>
                <w:right w:val="none" w:color="auto" w:sz="0" w:space="0"/>
                <w:between w:val="none" w:color="auto" w:sz="0" w:space="0"/>
              </w:pBdr>
              <w:jc w:val="both"/>
              <w:rPr>
                <w:color w:val="000000"/>
                <w:sz w:val="28"/>
                <w:szCs w:val="28"/>
                <w:lang w:val="en-US"/>
              </w:rPr>
            </w:pPr>
          </w:p>
        </w:tc>
        <w:tc>
          <w:tcPr>
            <w:tcW w:w="1689" w:type="dxa"/>
            <w:tcBorders>
              <w:left w:val="single" w:color="000000" w:sz="4" w:space="0"/>
              <w:bottom w:val="single" w:color="000000" w:sz="4" w:space="0"/>
            </w:tcBorders>
            <w:vAlign w:val="center"/>
          </w:tcPr>
          <w:p w14:paraId="6295016F">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lang w:val="en-US"/>
              </w:rPr>
            </w:pPr>
            <w:r>
              <w:rPr>
                <w:color w:val="000000"/>
                <w:sz w:val="28"/>
                <w:szCs w:val="28"/>
                <w:lang w:val="en-US"/>
              </w:rPr>
              <w:t>Excellent</w:t>
            </w:r>
          </w:p>
        </w:tc>
        <w:tc>
          <w:tcPr>
            <w:tcW w:w="1509" w:type="dxa"/>
            <w:tcBorders>
              <w:left w:val="single" w:color="000000" w:sz="4" w:space="0"/>
              <w:bottom w:val="single" w:color="000000" w:sz="4" w:space="0"/>
            </w:tcBorders>
            <w:vAlign w:val="center"/>
          </w:tcPr>
          <w:p w14:paraId="0964E767">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lang w:val="en-US"/>
              </w:rPr>
            </w:pPr>
            <w:r>
              <w:rPr>
                <w:color w:val="000000"/>
                <w:sz w:val="28"/>
                <w:szCs w:val="28"/>
                <w:lang w:val="en-US"/>
              </w:rPr>
              <w:t>Good</w:t>
            </w:r>
          </w:p>
        </w:tc>
        <w:tc>
          <w:tcPr>
            <w:tcW w:w="1710" w:type="dxa"/>
            <w:tcBorders>
              <w:left w:val="single" w:color="000000" w:sz="4" w:space="0"/>
              <w:bottom w:val="single" w:color="000000" w:sz="4" w:space="0"/>
            </w:tcBorders>
            <w:vAlign w:val="center"/>
          </w:tcPr>
          <w:p w14:paraId="7F0E195B">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lang w:val="en-US"/>
              </w:rPr>
            </w:pPr>
            <w:r>
              <w:rPr>
                <w:color w:val="000000"/>
                <w:sz w:val="28"/>
                <w:szCs w:val="28"/>
                <w:lang w:val="en-US"/>
              </w:rPr>
              <w:t>Satisfactory</w:t>
            </w:r>
          </w:p>
        </w:tc>
        <w:tc>
          <w:tcPr>
            <w:tcW w:w="1981" w:type="dxa"/>
            <w:tcBorders>
              <w:left w:val="single" w:color="000000" w:sz="4" w:space="0"/>
              <w:bottom w:val="single" w:color="000000" w:sz="4" w:space="0"/>
              <w:right w:val="single" w:color="000000" w:sz="4" w:space="0"/>
            </w:tcBorders>
            <w:vAlign w:val="center"/>
          </w:tcPr>
          <w:p w14:paraId="5AEFA813">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lang w:val="en-US"/>
              </w:rPr>
            </w:pPr>
            <w:r>
              <w:rPr>
                <w:color w:val="000000"/>
                <w:sz w:val="28"/>
                <w:szCs w:val="28"/>
                <w:lang w:val="en-US"/>
              </w:rPr>
              <w:t>Unsatisfactory</w:t>
            </w:r>
          </w:p>
        </w:tc>
      </w:tr>
      <w:tr w14:paraId="4F1E20DE">
        <w:tblPrEx>
          <w:tblCellMar>
            <w:top w:w="0" w:type="dxa"/>
            <w:left w:w="108" w:type="dxa"/>
            <w:bottom w:w="0" w:type="dxa"/>
            <w:right w:w="108" w:type="dxa"/>
          </w:tblCellMar>
        </w:tblPrEx>
        <w:tc>
          <w:tcPr>
            <w:tcW w:w="2592" w:type="dxa"/>
            <w:tcBorders>
              <w:left w:val="single" w:color="000000" w:sz="4" w:space="0"/>
              <w:bottom w:val="single" w:color="000000" w:sz="4" w:space="0"/>
            </w:tcBorders>
          </w:tcPr>
          <w:p w14:paraId="74AC37F7">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lang w:val="en-US"/>
              </w:rPr>
            </w:pPr>
            <w:r>
              <w:rPr>
                <w:color w:val="000000"/>
                <w:sz w:val="28"/>
                <w:szCs w:val="28"/>
                <w:lang w:val="en-US"/>
              </w:rPr>
              <w:t>1</w:t>
            </w:r>
          </w:p>
        </w:tc>
        <w:tc>
          <w:tcPr>
            <w:tcW w:w="1689" w:type="dxa"/>
            <w:tcBorders>
              <w:left w:val="single" w:color="000000" w:sz="4" w:space="0"/>
              <w:bottom w:val="single" w:color="000000" w:sz="4" w:space="0"/>
            </w:tcBorders>
          </w:tcPr>
          <w:p w14:paraId="0DEBEB01">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lang w:val="en-US"/>
              </w:rPr>
            </w:pPr>
            <w:r>
              <w:rPr>
                <w:color w:val="000000"/>
                <w:sz w:val="28"/>
                <w:szCs w:val="28"/>
                <w:lang w:val="en-US"/>
              </w:rPr>
              <w:t>1</w:t>
            </w:r>
          </w:p>
        </w:tc>
        <w:tc>
          <w:tcPr>
            <w:tcW w:w="1509" w:type="dxa"/>
            <w:tcBorders>
              <w:left w:val="single" w:color="000000" w:sz="4" w:space="0"/>
              <w:bottom w:val="single" w:color="000000" w:sz="4" w:space="0"/>
            </w:tcBorders>
          </w:tcPr>
          <w:p w14:paraId="2EA34AF9">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lang w:val="en-US"/>
              </w:rPr>
            </w:pPr>
            <w:r>
              <w:rPr>
                <w:color w:val="000000"/>
                <w:sz w:val="28"/>
                <w:szCs w:val="28"/>
                <w:lang w:val="en-US"/>
              </w:rPr>
              <w:t>0,75</w:t>
            </w:r>
          </w:p>
        </w:tc>
        <w:tc>
          <w:tcPr>
            <w:tcW w:w="1710" w:type="dxa"/>
            <w:tcBorders>
              <w:left w:val="single" w:color="000000" w:sz="4" w:space="0"/>
              <w:bottom w:val="single" w:color="000000" w:sz="4" w:space="0"/>
            </w:tcBorders>
          </w:tcPr>
          <w:p w14:paraId="4980027B">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lang w:val="en-US"/>
              </w:rPr>
            </w:pPr>
            <w:r>
              <w:rPr>
                <w:color w:val="000000"/>
                <w:sz w:val="28"/>
                <w:szCs w:val="28"/>
                <w:lang w:val="en-US"/>
              </w:rPr>
              <w:t>0,5</w:t>
            </w:r>
          </w:p>
        </w:tc>
        <w:tc>
          <w:tcPr>
            <w:tcW w:w="1981" w:type="dxa"/>
            <w:tcBorders>
              <w:left w:val="single" w:color="000000" w:sz="4" w:space="0"/>
              <w:bottom w:val="single" w:color="000000" w:sz="4" w:space="0"/>
              <w:right w:val="single" w:color="000000" w:sz="4" w:space="0"/>
            </w:tcBorders>
          </w:tcPr>
          <w:p w14:paraId="4EEC0239">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lang w:val="en-US"/>
              </w:rPr>
            </w:pPr>
            <w:r>
              <w:rPr>
                <w:color w:val="000000"/>
                <w:sz w:val="28"/>
                <w:szCs w:val="28"/>
                <w:lang w:val="en-US"/>
              </w:rPr>
              <w:t>0</w:t>
            </w:r>
          </w:p>
        </w:tc>
      </w:tr>
    </w:tbl>
    <w:p w14:paraId="51DFCE85">
      <w:pPr>
        <w:pBdr>
          <w:top w:val="none" w:color="auto" w:sz="0" w:space="0"/>
          <w:left w:val="none" w:color="auto" w:sz="0" w:space="0"/>
          <w:bottom w:val="none" w:color="auto" w:sz="0" w:space="0"/>
          <w:right w:val="none" w:color="auto" w:sz="0" w:space="0"/>
          <w:between w:val="none" w:color="auto" w:sz="0" w:space="0"/>
        </w:pBdr>
        <w:ind w:firstLine="720"/>
        <w:jc w:val="both"/>
        <w:rPr>
          <w:color w:val="000000"/>
          <w:sz w:val="28"/>
          <w:szCs w:val="28"/>
        </w:rPr>
      </w:pPr>
    </w:p>
    <w:p w14:paraId="1202B769">
      <w:pPr>
        <w:pStyle w:val="56"/>
        <w:ind w:firstLine="720"/>
        <w:jc w:val="both"/>
        <w:rPr>
          <w:rFonts w:ascii="Times New Roman" w:hAnsi="Times New Roman" w:cs="Times New Roman"/>
          <w:sz w:val="28"/>
          <w:szCs w:val="28"/>
        </w:rPr>
      </w:pPr>
      <w:r>
        <w:rPr>
          <w:rFonts w:ascii="Times New Roman" w:hAnsi="Times New Roman" w:cs="Times New Roman"/>
          <w:sz w:val="28"/>
          <w:szCs w:val="28"/>
        </w:rPr>
        <w:t>Forms of assessment include: ongoing assessment of practical work; ongoing assessment of knowledge acquisition based on oral responses, reports, presentations, and other forms of participation during practical (seminar) classes; individual or group projects requiring the development of practical skills and competencies (optional format); solving situational tasks; preparation of summaries on independently studied topics; testing or written examinations; preparation of draft articles, conference abstracts, and other publications; other forms that ensure comprehensive assimilation of the study program and contribute to the gradual development of skills for effective independent professional (practical, scientific, and theoretical) activity at a high level.</w:t>
      </w:r>
    </w:p>
    <w:p w14:paraId="0D42EAA0">
      <w:pPr>
        <w:pStyle w:val="56"/>
        <w:ind w:firstLine="720"/>
        <w:jc w:val="both"/>
        <w:rPr>
          <w:rFonts w:ascii="Times New Roman" w:hAnsi="Times New Roman" w:cs="Times New Roman"/>
          <w:sz w:val="28"/>
          <w:szCs w:val="28"/>
          <w:lang w:val="en-GB" w:eastAsia="ru-RU"/>
        </w:rPr>
      </w:pPr>
      <w:r>
        <w:rPr>
          <w:rFonts w:ascii="Times New Roman" w:hAnsi="Times New Roman" w:cs="Times New Roman"/>
          <w:sz w:val="28"/>
          <w:szCs w:val="28"/>
          <w:lang w:val="en-GB" w:eastAsia="ru-RU"/>
        </w:rPr>
        <w:t>To assess the learning outcomes of a student during the semester, a 100-point, national and ECTS assessment scale is used</w:t>
      </w:r>
    </w:p>
    <w:p w14:paraId="5B2FA76F">
      <w:pPr>
        <w:ind w:firstLine="720"/>
        <w:jc w:val="both"/>
        <w:rPr>
          <w:iCs/>
          <w:color w:val="000000"/>
          <w:sz w:val="28"/>
          <w:szCs w:val="28"/>
          <w:lang w:val="uk-UA"/>
        </w:rPr>
      </w:pPr>
    </w:p>
    <w:p w14:paraId="4E3726B7">
      <w:pPr>
        <w:pStyle w:val="56"/>
        <w:ind w:firstLine="720"/>
        <w:jc w:val="both"/>
        <w:rPr>
          <w:rFonts w:ascii="Times New Roman" w:hAnsi="Times New Roman" w:cs="Times New Roman"/>
          <w:sz w:val="28"/>
          <w:szCs w:val="28"/>
          <w:lang w:val="en-GB" w:eastAsia="ru-RU"/>
        </w:rPr>
      </w:pPr>
      <w:r>
        <w:rPr>
          <w:rFonts w:ascii="Times New Roman" w:hAnsi="Times New Roman" w:cs="Times New Roman"/>
          <w:sz w:val="28"/>
          <w:szCs w:val="28"/>
          <w:lang w:val="en-GB" w:eastAsia="ru-RU"/>
        </w:rPr>
        <w:t>Summary assessment scale: national and ECTS</w:t>
      </w:r>
    </w:p>
    <w:tbl>
      <w:tblPr>
        <w:tblStyle w:val="7"/>
        <w:tblW w:w="9624" w:type="dxa"/>
        <w:tblInd w:w="10" w:type="dxa"/>
        <w:tblLayout w:type="fixed"/>
        <w:tblCellMar>
          <w:top w:w="0" w:type="dxa"/>
          <w:left w:w="0" w:type="dxa"/>
          <w:bottom w:w="0" w:type="dxa"/>
          <w:right w:w="0" w:type="dxa"/>
        </w:tblCellMar>
      </w:tblPr>
      <w:tblGrid>
        <w:gridCol w:w="1970"/>
        <w:gridCol w:w="1540"/>
        <w:gridCol w:w="3581"/>
        <w:gridCol w:w="2533"/>
      </w:tblGrid>
      <w:tr w14:paraId="6E9821EC">
        <w:tblPrEx>
          <w:tblCellMar>
            <w:top w:w="0" w:type="dxa"/>
            <w:left w:w="0" w:type="dxa"/>
            <w:bottom w:w="0" w:type="dxa"/>
            <w:right w:w="0" w:type="dxa"/>
          </w:tblCellMar>
        </w:tblPrEx>
        <w:trPr>
          <w:trHeight w:val="850" w:hRule="exact"/>
        </w:trPr>
        <w:tc>
          <w:tcPr>
            <w:tcW w:w="1970" w:type="dxa"/>
            <w:vMerge w:val="restart"/>
            <w:tcBorders>
              <w:top w:val="single" w:color="000000" w:sz="4" w:space="0"/>
              <w:left w:val="single" w:color="000000" w:sz="4" w:space="0"/>
            </w:tcBorders>
            <w:shd w:val="clear" w:color="auto" w:fill="FFFFFF"/>
            <w:vAlign w:val="center"/>
          </w:tcPr>
          <w:p w14:paraId="34D508B5">
            <w:pPr>
              <w:pStyle w:val="56"/>
              <w:ind w:left="127" w:right="35"/>
              <w:jc w:val="center"/>
              <w:rPr>
                <w:rFonts w:ascii="Times New Roman" w:hAnsi="Times New Roman" w:cs="Times New Roman"/>
                <w:sz w:val="28"/>
                <w:szCs w:val="28"/>
                <w:lang w:val="en-GB"/>
              </w:rPr>
            </w:pPr>
            <w:r>
              <w:rPr>
                <w:rFonts w:ascii="Times New Roman" w:hAnsi="Times New Roman" w:cs="Times New Roman"/>
                <w:sz w:val="28"/>
                <w:szCs w:val="28"/>
                <w:lang w:val="en-GB"/>
              </w:rPr>
              <w:t>Total points for all types of learning activities</w:t>
            </w:r>
          </w:p>
        </w:tc>
        <w:tc>
          <w:tcPr>
            <w:tcW w:w="1540" w:type="dxa"/>
            <w:vMerge w:val="restart"/>
            <w:tcBorders>
              <w:top w:val="single" w:color="000000" w:sz="4" w:space="0"/>
              <w:left w:val="single" w:color="000000" w:sz="4" w:space="0"/>
            </w:tcBorders>
            <w:shd w:val="clear" w:color="auto" w:fill="FFFFFF"/>
            <w:vAlign w:val="center"/>
          </w:tcPr>
          <w:p w14:paraId="6BBBD381">
            <w:pPr>
              <w:pStyle w:val="56"/>
              <w:ind w:left="127" w:right="35"/>
              <w:jc w:val="center"/>
              <w:rPr>
                <w:rFonts w:ascii="Times New Roman" w:hAnsi="Times New Roman" w:cs="Times New Roman"/>
                <w:sz w:val="28"/>
                <w:szCs w:val="28"/>
                <w:lang w:val="en-GB"/>
              </w:rPr>
            </w:pPr>
            <w:r>
              <w:rPr>
                <w:rFonts w:ascii="Times New Roman" w:hAnsi="Times New Roman" w:cs="Times New Roman"/>
                <w:sz w:val="28"/>
                <w:szCs w:val="28"/>
                <w:lang w:val="en-GB"/>
              </w:rPr>
              <w:t>ECTS assessment</w:t>
            </w:r>
          </w:p>
        </w:tc>
        <w:tc>
          <w:tcPr>
            <w:tcW w:w="6114" w:type="dxa"/>
            <w:gridSpan w:val="2"/>
            <w:tcBorders>
              <w:top w:val="single" w:color="000000" w:sz="4" w:space="0"/>
              <w:left w:val="single" w:color="000000" w:sz="4" w:space="0"/>
              <w:right w:val="single" w:color="000000" w:sz="4" w:space="0"/>
            </w:tcBorders>
            <w:shd w:val="clear" w:color="auto" w:fill="FFFFFF"/>
            <w:vAlign w:val="center"/>
          </w:tcPr>
          <w:p w14:paraId="1FADEE35">
            <w:pPr>
              <w:pStyle w:val="56"/>
              <w:ind w:left="127" w:right="35"/>
              <w:jc w:val="center"/>
              <w:rPr>
                <w:rFonts w:ascii="Times New Roman" w:hAnsi="Times New Roman" w:cs="Times New Roman"/>
                <w:sz w:val="28"/>
                <w:szCs w:val="28"/>
                <w:lang w:val="en-GB"/>
              </w:rPr>
            </w:pPr>
            <w:r>
              <w:rPr>
                <w:rFonts w:ascii="Times New Roman" w:hAnsi="Times New Roman" w:cs="Times New Roman"/>
                <w:sz w:val="28"/>
                <w:szCs w:val="28"/>
                <w:lang w:val="en-GB"/>
              </w:rPr>
              <w:t>National scale assessment for exam, course project (work), internship</w:t>
            </w:r>
          </w:p>
        </w:tc>
      </w:tr>
      <w:tr w14:paraId="46D9BF8D">
        <w:tblPrEx>
          <w:tblCellMar>
            <w:top w:w="0" w:type="dxa"/>
            <w:left w:w="0" w:type="dxa"/>
            <w:bottom w:w="0" w:type="dxa"/>
            <w:right w:w="0" w:type="dxa"/>
          </w:tblCellMar>
        </w:tblPrEx>
        <w:trPr>
          <w:trHeight w:val="1200" w:hRule="exact"/>
        </w:trPr>
        <w:tc>
          <w:tcPr>
            <w:tcW w:w="1970" w:type="dxa"/>
            <w:vMerge w:val="continue"/>
            <w:tcBorders>
              <w:top w:val="single" w:color="000000" w:sz="4" w:space="0"/>
              <w:left w:val="single" w:color="000000" w:sz="4" w:space="0"/>
            </w:tcBorders>
            <w:shd w:val="clear" w:color="auto" w:fill="FFFFFF"/>
            <w:vAlign w:val="center"/>
          </w:tcPr>
          <w:p w14:paraId="5D5A3D30">
            <w:pPr>
              <w:pStyle w:val="56"/>
              <w:ind w:left="127" w:right="35"/>
              <w:jc w:val="center"/>
              <w:rPr>
                <w:rFonts w:ascii="Times New Roman" w:hAnsi="Times New Roman" w:cs="Times New Roman"/>
                <w:sz w:val="28"/>
                <w:szCs w:val="28"/>
                <w:lang w:val="en-GB"/>
              </w:rPr>
            </w:pPr>
          </w:p>
        </w:tc>
        <w:tc>
          <w:tcPr>
            <w:tcW w:w="1540" w:type="dxa"/>
            <w:vMerge w:val="continue"/>
            <w:tcBorders>
              <w:top w:val="single" w:color="000000" w:sz="4" w:space="0"/>
              <w:left w:val="single" w:color="000000" w:sz="4" w:space="0"/>
            </w:tcBorders>
            <w:shd w:val="clear" w:color="auto" w:fill="FFFFFF"/>
            <w:vAlign w:val="center"/>
          </w:tcPr>
          <w:p w14:paraId="69EA4E59">
            <w:pPr>
              <w:pStyle w:val="56"/>
              <w:ind w:left="127" w:right="35"/>
              <w:jc w:val="center"/>
              <w:rPr>
                <w:rFonts w:ascii="Times New Roman" w:hAnsi="Times New Roman" w:cs="Times New Roman"/>
                <w:sz w:val="28"/>
                <w:szCs w:val="28"/>
                <w:lang w:val="en-GB"/>
              </w:rPr>
            </w:pPr>
          </w:p>
        </w:tc>
        <w:tc>
          <w:tcPr>
            <w:tcW w:w="3581" w:type="dxa"/>
            <w:tcBorders>
              <w:top w:val="single" w:color="000000" w:sz="4" w:space="0"/>
              <w:left w:val="single" w:color="000000" w:sz="4" w:space="0"/>
            </w:tcBorders>
            <w:shd w:val="clear" w:color="auto" w:fill="FFFFFF"/>
            <w:vAlign w:val="center"/>
          </w:tcPr>
          <w:p w14:paraId="5CCCAC75">
            <w:pPr>
              <w:pStyle w:val="56"/>
              <w:ind w:left="127" w:right="35"/>
              <w:jc w:val="center"/>
              <w:rPr>
                <w:rFonts w:ascii="Times New Roman" w:hAnsi="Times New Roman" w:cs="Times New Roman"/>
                <w:sz w:val="28"/>
                <w:szCs w:val="28"/>
                <w:lang w:val="en-GB"/>
              </w:rPr>
            </w:pPr>
            <w:r>
              <w:rPr>
                <w:rFonts w:ascii="Times New Roman" w:hAnsi="Times New Roman" w:cs="Times New Roman"/>
                <w:sz w:val="28"/>
                <w:szCs w:val="28"/>
                <w:lang w:val="en-GB"/>
              </w:rPr>
              <w:t>National scale assessment for exam, course project (work), internship</w:t>
            </w:r>
          </w:p>
        </w:tc>
        <w:tc>
          <w:tcPr>
            <w:tcW w:w="2533" w:type="dxa"/>
            <w:tcBorders>
              <w:top w:val="single" w:color="000000" w:sz="4" w:space="0"/>
              <w:left w:val="single" w:color="000000" w:sz="4" w:space="0"/>
              <w:right w:val="single" w:color="000000" w:sz="4" w:space="0"/>
            </w:tcBorders>
            <w:shd w:val="clear" w:color="auto" w:fill="FFFFFF"/>
            <w:vAlign w:val="center"/>
          </w:tcPr>
          <w:p w14:paraId="3300F592">
            <w:pPr>
              <w:pStyle w:val="56"/>
              <w:ind w:left="127" w:right="35"/>
              <w:jc w:val="center"/>
              <w:rPr>
                <w:rFonts w:ascii="Times New Roman" w:hAnsi="Times New Roman" w:cs="Times New Roman"/>
                <w:sz w:val="28"/>
                <w:szCs w:val="28"/>
                <w:lang w:val="en-GB"/>
              </w:rPr>
            </w:pPr>
            <w:r>
              <w:rPr>
                <w:rFonts w:ascii="Times New Roman" w:hAnsi="Times New Roman" w:cs="Times New Roman"/>
                <w:sz w:val="28"/>
                <w:szCs w:val="28"/>
                <w:lang w:val="en-GB"/>
              </w:rPr>
              <w:t>For pass/fail (credit)</w:t>
            </w:r>
          </w:p>
        </w:tc>
      </w:tr>
      <w:tr w14:paraId="0A68EEB9">
        <w:tblPrEx>
          <w:tblCellMar>
            <w:top w:w="0" w:type="dxa"/>
            <w:left w:w="0" w:type="dxa"/>
            <w:bottom w:w="0" w:type="dxa"/>
            <w:right w:w="0" w:type="dxa"/>
          </w:tblCellMar>
        </w:tblPrEx>
        <w:trPr>
          <w:trHeight w:val="362" w:hRule="exact"/>
        </w:trPr>
        <w:tc>
          <w:tcPr>
            <w:tcW w:w="1970" w:type="dxa"/>
            <w:tcBorders>
              <w:top w:val="single" w:color="000000" w:sz="4" w:space="0"/>
              <w:left w:val="single" w:color="000000" w:sz="4" w:space="0"/>
            </w:tcBorders>
            <w:shd w:val="clear" w:color="auto" w:fill="FFFFFF"/>
          </w:tcPr>
          <w:p w14:paraId="2A965213">
            <w:pPr>
              <w:pStyle w:val="56"/>
              <w:ind w:left="127" w:right="35"/>
              <w:jc w:val="center"/>
              <w:rPr>
                <w:rFonts w:ascii="Times New Roman" w:hAnsi="Times New Roman" w:cs="Times New Roman"/>
                <w:sz w:val="28"/>
                <w:szCs w:val="28"/>
                <w:lang w:val="en-GB"/>
              </w:rPr>
            </w:pPr>
            <w:r>
              <w:rPr>
                <w:rFonts w:ascii="Times New Roman" w:hAnsi="Times New Roman" w:cs="Times New Roman"/>
                <w:sz w:val="28"/>
                <w:szCs w:val="28"/>
                <w:lang w:val="en-GB"/>
              </w:rPr>
              <w:t>90 – 100</w:t>
            </w:r>
          </w:p>
        </w:tc>
        <w:tc>
          <w:tcPr>
            <w:tcW w:w="1540" w:type="dxa"/>
            <w:tcBorders>
              <w:top w:val="single" w:color="000000" w:sz="4" w:space="0"/>
              <w:left w:val="single" w:color="000000" w:sz="4" w:space="0"/>
            </w:tcBorders>
            <w:shd w:val="clear" w:color="auto" w:fill="FFFFFF"/>
          </w:tcPr>
          <w:p w14:paraId="63D7722D">
            <w:pPr>
              <w:pStyle w:val="56"/>
              <w:ind w:left="127" w:right="35"/>
              <w:jc w:val="center"/>
              <w:rPr>
                <w:rFonts w:ascii="Times New Roman" w:hAnsi="Times New Roman" w:cs="Times New Roman"/>
                <w:sz w:val="28"/>
                <w:szCs w:val="28"/>
                <w:lang w:val="en-GB"/>
              </w:rPr>
            </w:pPr>
            <w:r>
              <w:rPr>
                <w:rFonts w:ascii="Times New Roman" w:hAnsi="Times New Roman" w:cs="Times New Roman"/>
                <w:sz w:val="28"/>
                <w:szCs w:val="28"/>
                <w:lang w:val="en-GB"/>
              </w:rPr>
              <w:t>А</w:t>
            </w:r>
          </w:p>
        </w:tc>
        <w:tc>
          <w:tcPr>
            <w:tcW w:w="3581" w:type="dxa"/>
            <w:tcBorders>
              <w:top w:val="single" w:color="000000" w:sz="4" w:space="0"/>
              <w:left w:val="single" w:color="000000" w:sz="4" w:space="0"/>
            </w:tcBorders>
            <w:shd w:val="clear" w:color="auto" w:fill="FFFFFF"/>
          </w:tcPr>
          <w:p w14:paraId="5B4408EE">
            <w:pPr>
              <w:pStyle w:val="56"/>
              <w:ind w:left="127" w:right="35"/>
              <w:jc w:val="both"/>
              <w:rPr>
                <w:rFonts w:ascii="Times New Roman" w:hAnsi="Times New Roman" w:cs="Times New Roman"/>
                <w:sz w:val="28"/>
                <w:szCs w:val="28"/>
                <w:lang w:val="en-GB"/>
              </w:rPr>
            </w:pPr>
            <w:r>
              <w:rPr>
                <w:rFonts w:ascii="Times New Roman" w:hAnsi="Times New Roman" w:cs="Times New Roman"/>
                <w:sz w:val="28"/>
                <w:szCs w:val="28"/>
                <w:lang w:val="en-GB"/>
              </w:rPr>
              <w:t>excellent</w:t>
            </w:r>
          </w:p>
        </w:tc>
        <w:tc>
          <w:tcPr>
            <w:tcW w:w="2533" w:type="dxa"/>
            <w:vMerge w:val="restart"/>
            <w:tcBorders>
              <w:top w:val="single" w:color="000000" w:sz="4" w:space="0"/>
              <w:left w:val="single" w:color="000000" w:sz="4" w:space="0"/>
              <w:right w:val="single" w:color="000000" w:sz="4" w:space="0"/>
            </w:tcBorders>
            <w:shd w:val="clear" w:color="auto" w:fill="FFFFFF"/>
          </w:tcPr>
          <w:p w14:paraId="5C177178">
            <w:pPr>
              <w:pStyle w:val="56"/>
              <w:ind w:left="127" w:right="35"/>
              <w:jc w:val="both"/>
              <w:rPr>
                <w:rFonts w:ascii="Times New Roman" w:hAnsi="Times New Roman" w:cs="Times New Roman"/>
                <w:sz w:val="28"/>
                <w:szCs w:val="28"/>
                <w:lang w:val="en-GB"/>
              </w:rPr>
            </w:pPr>
            <w:r>
              <w:rPr>
                <w:rFonts w:ascii="Times New Roman" w:hAnsi="Times New Roman" w:cs="Times New Roman"/>
                <w:sz w:val="28"/>
                <w:szCs w:val="28"/>
                <w:lang w:val="en-GB"/>
              </w:rPr>
              <w:t>pass</w:t>
            </w:r>
          </w:p>
        </w:tc>
      </w:tr>
      <w:tr w14:paraId="6CFA6050">
        <w:tblPrEx>
          <w:tblCellMar>
            <w:top w:w="0" w:type="dxa"/>
            <w:left w:w="0" w:type="dxa"/>
            <w:bottom w:w="0" w:type="dxa"/>
            <w:right w:w="0" w:type="dxa"/>
          </w:tblCellMar>
        </w:tblPrEx>
        <w:trPr>
          <w:trHeight w:val="357" w:hRule="exact"/>
        </w:trPr>
        <w:tc>
          <w:tcPr>
            <w:tcW w:w="1970" w:type="dxa"/>
            <w:tcBorders>
              <w:top w:val="single" w:color="000000" w:sz="4" w:space="0"/>
              <w:left w:val="single" w:color="000000" w:sz="4" w:space="0"/>
            </w:tcBorders>
            <w:shd w:val="clear" w:color="auto" w:fill="FFFFFF"/>
          </w:tcPr>
          <w:p w14:paraId="769AF8C9">
            <w:pPr>
              <w:pStyle w:val="56"/>
              <w:ind w:left="127" w:right="35"/>
              <w:jc w:val="center"/>
              <w:rPr>
                <w:rFonts w:ascii="Times New Roman" w:hAnsi="Times New Roman" w:cs="Times New Roman"/>
                <w:sz w:val="28"/>
                <w:szCs w:val="28"/>
                <w:lang w:val="en-GB"/>
              </w:rPr>
            </w:pPr>
            <w:r>
              <w:rPr>
                <w:rFonts w:ascii="Times New Roman" w:hAnsi="Times New Roman" w:cs="Times New Roman"/>
                <w:sz w:val="28"/>
                <w:szCs w:val="28"/>
                <w:lang w:val="en-GB"/>
              </w:rPr>
              <w:t>82 – 89</w:t>
            </w:r>
          </w:p>
        </w:tc>
        <w:tc>
          <w:tcPr>
            <w:tcW w:w="1540" w:type="dxa"/>
            <w:tcBorders>
              <w:top w:val="single" w:color="000000" w:sz="4" w:space="0"/>
              <w:left w:val="single" w:color="000000" w:sz="4" w:space="0"/>
            </w:tcBorders>
            <w:shd w:val="clear" w:color="auto" w:fill="FFFFFF"/>
          </w:tcPr>
          <w:p w14:paraId="32471F19">
            <w:pPr>
              <w:pStyle w:val="56"/>
              <w:ind w:left="127" w:right="35"/>
              <w:jc w:val="center"/>
              <w:rPr>
                <w:rFonts w:ascii="Times New Roman" w:hAnsi="Times New Roman" w:cs="Times New Roman"/>
                <w:sz w:val="28"/>
                <w:szCs w:val="28"/>
                <w:lang w:val="en-GB"/>
              </w:rPr>
            </w:pPr>
            <w:r>
              <w:rPr>
                <w:rFonts w:ascii="Times New Roman" w:hAnsi="Times New Roman" w:cs="Times New Roman"/>
                <w:sz w:val="28"/>
                <w:szCs w:val="28"/>
                <w:lang w:val="en-GB"/>
              </w:rPr>
              <w:t>В</w:t>
            </w:r>
          </w:p>
        </w:tc>
        <w:tc>
          <w:tcPr>
            <w:tcW w:w="3581" w:type="dxa"/>
            <w:vMerge w:val="restart"/>
            <w:tcBorders>
              <w:top w:val="single" w:color="000000" w:sz="4" w:space="0"/>
              <w:left w:val="single" w:color="000000" w:sz="4" w:space="0"/>
            </w:tcBorders>
            <w:shd w:val="clear" w:color="auto" w:fill="FFFFFF"/>
          </w:tcPr>
          <w:p w14:paraId="6D80C118">
            <w:pPr>
              <w:pStyle w:val="56"/>
              <w:ind w:left="127" w:right="35"/>
              <w:jc w:val="both"/>
              <w:rPr>
                <w:rFonts w:ascii="Times New Roman" w:hAnsi="Times New Roman" w:cs="Times New Roman"/>
                <w:sz w:val="28"/>
                <w:szCs w:val="28"/>
                <w:lang w:val="en-GB"/>
              </w:rPr>
            </w:pPr>
            <w:r>
              <w:rPr>
                <w:rFonts w:ascii="Times New Roman" w:hAnsi="Times New Roman" w:cs="Times New Roman"/>
                <w:sz w:val="28"/>
                <w:szCs w:val="28"/>
                <w:lang w:val="en-GB"/>
              </w:rPr>
              <w:t>good</w:t>
            </w:r>
          </w:p>
        </w:tc>
        <w:tc>
          <w:tcPr>
            <w:tcW w:w="2533" w:type="dxa"/>
            <w:vMerge w:val="continue"/>
            <w:tcBorders>
              <w:top w:val="single" w:color="000000" w:sz="4" w:space="0"/>
              <w:left w:val="single" w:color="000000" w:sz="4" w:space="0"/>
              <w:right w:val="single" w:color="000000" w:sz="4" w:space="0"/>
            </w:tcBorders>
            <w:shd w:val="clear" w:color="auto" w:fill="FFFFFF"/>
          </w:tcPr>
          <w:p w14:paraId="7F7CACB4">
            <w:pPr>
              <w:pStyle w:val="56"/>
              <w:ind w:left="127" w:right="35"/>
              <w:jc w:val="both"/>
              <w:rPr>
                <w:rFonts w:ascii="Times New Roman" w:hAnsi="Times New Roman" w:cs="Times New Roman"/>
                <w:sz w:val="28"/>
                <w:szCs w:val="28"/>
                <w:lang w:val="en-GB"/>
              </w:rPr>
            </w:pPr>
          </w:p>
        </w:tc>
      </w:tr>
      <w:tr w14:paraId="6D6160F0">
        <w:tblPrEx>
          <w:tblCellMar>
            <w:top w:w="0" w:type="dxa"/>
            <w:left w:w="0" w:type="dxa"/>
            <w:bottom w:w="0" w:type="dxa"/>
            <w:right w:w="0" w:type="dxa"/>
          </w:tblCellMar>
        </w:tblPrEx>
        <w:trPr>
          <w:trHeight w:val="353" w:hRule="exact"/>
        </w:trPr>
        <w:tc>
          <w:tcPr>
            <w:tcW w:w="1970" w:type="dxa"/>
            <w:tcBorders>
              <w:top w:val="single" w:color="000000" w:sz="4" w:space="0"/>
              <w:left w:val="single" w:color="000000" w:sz="4" w:space="0"/>
            </w:tcBorders>
            <w:shd w:val="clear" w:color="auto" w:fill="FFFFFF"/>
          </w:tcPr>
          <w:p w14:paraId="5C4DBEB1">
            <w:pPr>
              <w:pStyle w:val="56"/>
              <w:ind w:left="127" w:right="35"/>
              <w:jc w:val="center"/>
              <w:rPr>
                <w:rFonts w:ascii="Times New Roman" w:hAnsi="Times New Roman" w:cs="Times New Roman"/>
                <w:sz w:val="28"/>
                <w:szCs w:val="28"/>
                <w:lang w:val="en-GB"/>
              </w:rPr>
            </w:pPr>
            <w:r>
              <w:rPr>
                <w:rFonts w:ascii="Times New Roman" w:hAnsi="Times New Roman" w:cs="Times New Roman"/>
                <w:sz w:val="28"/>
                <w:szCs w:val="28"/>
                <w:lang w:val="en-GB"/>
              </w:rPr>
              <w:t>75 – 81</w:t>
            </w:r>
          </w:p>
        </w:tc>
        <w:tc>
          <w:tcPr>
            <w:tcW w:w="1540" w:type="dxa"/>
            <w:tcBorders>
              <w:top w:val="single" w:color="000000" w:sz="4" w:space="0"/>
              <w:left w:val="single" w:color="000000" w:sz="4" w:space="0"/>
            </w:tcBorders>
            <w:shd w:val="clear" w:color="auto" w:fill="FFFFFF"/>
          </w:tcPr>
          <w:p w14:paraId="2D998037">
            <w:pPr>
              <w:pStyle w:val="56"/>
              <w:ind w:left="127" w:right="35"/>
              <w:jc w:val="center"/>
              <w:rPr>
                <w:rFonts w:ascii="Times New Roman" w:hAnsi="Times New Roman" w:cs="Times New Roman"/>
                <w:sz w:val="28"/>
                <w:szCs w:val="28"/>
                <w:lang w:val="en-GB"/>
              </w:rPr>
            </w:pPr>
            <w:r>
              <w:rPr>
                <w:rFonts w:ascii="Times New Roman" w:hAnsi="Times New Roman" w:cs="Times New Roman"/>
                <w:sz w:val="28"/>
                <w:szCs w:val="28"/>
                <w:lang w:val="en-GB"/>
              </w:rPr>
              <w:t>С</w:t>
            </w:r>
          </w:p>
        </w:tc>
        <w:tc>
          <w:tcPr>
            <w:tcW w:w="3581" w:type="dxa"/>
            <w:vMerge w:val="continue"/>
            <w:tcBorders>
              <w:top w:val="single" w:color="000000" w:sz="4" w:space="0"/>
              <w:left w:val="single" w:color="000000" w:sz="4" w:space="0"/>
            </w:tcBorders>
            <w:shd w:val="clear" w:color="auto" w:fill="FFFFFF"/>
          </w:tcPr>
          <w:p w14:paraId="74D897BE">
            <w:pPr>
              <w:pStyle w:val="56"/>
              <w:ind w:left="127" w:right="35"/>
              <w:jc w:val="both"/>
              <w:rPr>
                <w:rFonts w:ascii="Times New Roman" w:hAnsi="Times New Roman" w:cs="Times New Roman"/>
                <w:sz w:val="28"/>
                <w:szCs w:val="28"/>
                <w:lang w:val="en-GB"/>
              </w:rPr>
            </w:pPr>
          </w:p>
        </w:tc>
        <w:tc>
          <w:tcPr>
            <w:tcW w:w="2533" w:type="dxa"/>
            <w:vMerge w:val="continue"/>
            <w:tcBorders>
              <w:top w:val="single" w:color="000000" w:sz="4" w:space="0"/>
              <w:left w:val="single" w:color="000000" w:sz="4" w:space="0"/>
              <w:right w:val="single" w:color="000000" w:sz="4" w:space="0"/>
            </w:tcBorders>
            <w:shd w:val="clear" w:color="auto" w:fill="FFFFFF"/>
          </w:tcPr>
          <w:p w14:paraId="34424517">
            <w:pPr>
              <w:pStyle w:val="56"/>
              <w:ind w:left="127" w:right="35"/>
              <w:jc w:val="both"/>
              <w:rPr>
                <w:rFonts w:ascii="Times New Roman" w:hAnsi="Times New Roman" w:cs="Times New Roman"/>
                <w:sz w:val="28"/>
                <w:szCs w:val="28"/>
                <w:lang w:val="en-GB"/>
              </w:rPr>
            </w:pPr>
          </w:p>
        </w:tc>
      </w:tr>
      <w:tr w14:paraId="4EE5059D">
        <w:tblPrEx>
          <w:tblCellMar>
            <w:top w:w="0" w:type="dxa"/>
            <w:left w:w="0" w:type="dxa"/>
            <w:bottom w:w="0" w:type="dxa"/>
            <w:right w:w="0" w:type="dxa"/>
          </w:tblCellMar>
        </w:tblPrEx>
        <w:trPr>
          <w:trHeight w:val="364" w:hRule="exact"/>
        </w:trPr>
        <w:tc>
          <w:tcPr>
            <w:tcW w:w="1970" w:type="dxa"/>
            <w:tcBorders>
              <w:top w:val="single" w:color="000000" w:sz="4" w:space="0"/>
              <w:left w:val="single" w:color="000000" w:sz="4" w:space="0"/>
            </w:tcBorders>
            <w:shd w:val="clear" w:color="auto" w:fill="FFFFFF"/>
          </w:tcPr>
          <w:p w14:paraId="4BD0D25F">
            <w:pPr>
              <w:pStyle w:val="56"/>
              <w:ind w:left="127" w:right="35"/>
              <w:jc w:val="center"/>
              <w:rPr>
                <w:rFonts w:ascii="Times New Roman" w:hAnsi="Times New Roman" w:cs="Times New Roman"/>
                <w:sz w:val="28"/>
                <w:szCs w:val="28"/>
                <w:lang w:val="en-GB"/>
              </w:rPr>
            </w:pPr>
            <w:r>
              <w:rPr>
                <w:rFonts w:ascii="Times New Roman" w:hAnsi="Times New Roman" w:cs="Times New Roman"/>
                <w:sz w:val="28"/>
                <w:szCs w:val="28"/>
                <w:lang w:val="en-GB"/>
              </w:rPr>
              <w:t>68 – 74</w:t>
            </w:r>
          </w:p>
        </w:tc>
        <w:tc>
          <w:tcPr>
            <w:tcW w:w="1540" w:type="dxa"/>
            <w:tcBorders>
              <w:top w:val="single" w:color="000000" w:sz="4" w:space="0"/>
              <w:left w:val="single" w:color="000000" w:sz="4" w:space="0"/>
            </w:tcBorders>
            <w:shd w:val="clear" w:color="auto" w:fill="FFFFFF"/>
          </w:tcPr>
          <w:p w14:paraId="252351AB">
            <w:pPr>
              <w:pStyle w:val="56"/>
              <w:ind w:left="127" w:right="35"/>
              <w:jc w:val="center"/>
              <w:rPr>
                <w:rFonts w:ascii="Times New Roman" w:hAnsi="Times New Roman" w:cs="Times New Roman"/>
                <w:sz w:val="28"/>
                <w:szCs w:val="28"/>
                <w:lang w:val="en-GB"/>
              </w:rPr>
            </w:pPr>
            <w:r>
              <w:rPr>
                <w:rFonts w:ascii="Times New Roman" w:hAnsi="Times New Roman" w:cs="Times New Roman"/>
                <w:sz w:val="28"/>
                <w:szCs w:val="28"/>
                <w:lang w:val="en-GB"/>
              </w:rPr>
              <w:t>D</w:t>
            </w:r>
          </w:p>
        </w:tc>
        <w:tc>
          <w:tcPr>
            <w:tcW w:w="3581" w:type="dxa"/>
            <w:vMerge w:val="restart"/>
            <w:tcBorders>
              <w:top w:val="single" w:color="000000" w:sz="4" w:space="0"/>
              <w:left w:val="single" w:color="000000" w:sz="4" w:space="0"/>
            </w:tcBorders>
            <w:shd w:val="clear" w:color="auto" w:fill="FFFFFF"/>
          </w:tcPr>
          <w:p w14:paraId="5700C7B7">
            <w:pPr>
              <w:pStyle w:val="56"/>
              <w:ind w:left="127" w:right="35"/>
              <w:jc w:val="both"/>
              <w:rPr>
                <w:rFonts w:ascii="Times New Roman" w:hAnsi="Times New Roman" w:cs="Times New Roman"/>
                <w:sz w:val="28"/>
                <w:szCs w:val="28"/>
                <w:lang w:val="en-GB"/>
              </w:rPr>
            </w:pPr>
            <w:r>
              <w:rPr>
                <w:rFonts w:ascii="Times New Roman" w:hAnsi="Times New Roman" w:cs="Times New Roman"/>
                <w:sz w:val="28"/>
                <w:szCs w:val="28"/>
                <w:lang w:val="en-GB"/>
              </w:rPr>
              <w:t>satisfactory</w:t>
            </w:r>
          </w:p>
        </w:tc>
        <w:tc>
          <w:tcPr>
            <w:tcW w:w="2533" w:type="dxa"/>
            <w:vMerge w:val="continue"/>
            <w:tcBorders>
              <w:top w:val="single" w:color="000000" w:sz="4" w:space="0"/>
              <w:left w:val="single" w:color="000000" w:sz="4" w:space="0"/>
              <w:right w:val="single" w:color="000000" w:sz="4" w:space="0"/>
            </w:tcBorders>
            <w:shd w:val="clear" w:color="auto" w:fill="FFFFFF"/>
          </w:tcPr>
          <w:p w14:paraId="53FA92F8">
            <w:pPr>
              <w:pStyle w:val="56"/>
              <w:ind w:left="127" w:right="35"/>
              <w:jc w:val="both"/>
              <w:rPr>
                <w:rFonts w:ascii="Times New Roman" w:hAnsi="Times New Roman" w:cs="Times New Roman"/>
                <w:sz w:val="28"/>
                <w:szCs w:val="28"/>
                <w:lang w:val="en-GB"/>
              </w:rPr>
            </w:pPr>
          </w:p>
        </w:tc>
      </w:tr>
      <w:tr w14:paraId="60C05CA6">
        <w:tblPrEx>
          <w:tblCellMar>
            <w:top w:w="0" w:type="dxa"/>
            <w:left w:w="0" w:type="dxa"/>
            <w:bottom w:w="0" w:type="dxa"/>
            <w:right w:w="0" w:type="dxa"/>
          </w:tblCellMar>
        </w:tblPrEx>
        <w:trPr>
          <w:trHeight w:val="344" w:hRule="exact"/>
        </w:trPr>
        <w:tc>
          <w:tcPr>
            <w:tcW w:w="1970" w:type="dxa"/>
            <w:tcBorders>
              <w:top w:val="single" w:color="000000" w:sz="4" w:space="0"/>
              <w:left w:val="single" w:color="000000" w:sz="4" w:space="0"/>
            </w:tcBorders>
            <w:shd w:val="clear" w:color="auto" w:fill="FFFFFF"/>
          </w:tcPr>
          <w:p w14:paraId="431549DA">
            <w:pPr>
              <w:pStyle w:val="56"/>
              <w:ind w:left="127" w:right="35"/>
              <w:jc w:val="center"/>
              <w:rPr>
                <w:rFonts w:ascii="Times New Roman" w:hAnsi="Times New Roman" w:cs="Times New Roman"/>
                <w:sz w:val="28"/>
                <w:szCs w:val="28"/>
                <w:lang w:val="en-GB"/>
              </w:rPr>
            </w:pPr>
            <w:r>
              <w:rPr>
                <w:rFonts w:ascii="Times New Roman" w:hAnsi="Times New Roman" w:cs="Times New Roman"/>
                <w:sz w:val="28"/>
                <w:szCs w:val="28"/>
                <w:lang w:val="en-GB"/>
              </w:rPr>
              <w:t>60 – 67</w:t>
            </w:r>
          </w:p>
        </w:tc>
        <w:tc>
          <w:tcPr>
            <w:tcW w:w="1540" w:type="dxa"/>
            <w:tcBorders>
              <w:top w:val="single" w:color="000000" w:sz="4" w:space="0"/>
              <w:left w:val="single" w:color="000000" w:sz="4" w:space="0"/>
            </w:tcBorders>
            <w:shd w:val="clear" w:color="auto" w:fill="FFFFFF"/>
          </w:tcPr>
          <w:p w14:paraId="22BF06AA">
            <w:pPr>
              <w:pStyle w:val="56"/>
              <w:ind w:left="127" w:right="35"/>
              <w:jc w:val="center"/>
              <w:rPr>
                <w:rFonts w:ascii="Times New Roman" w:hAnsi="Times New Roman" w:cs="Times New Roman"/>
                <w:sz w:val="28"/>
                <w:szCs w:val="28"/>
                <w:lang w:val="en-GB"/>
              </w:rPr>
            </w:pPr>
            <w:r>
              <w:rPr>
                <w:rFonts w:ascii="Times New Roman" w:hAnsi="Times New Roman" w:cs="Times New Roman"/>
                <w:sz w:val="28"/>
                <w:szCs w:val="28"/>
                <w:lang w:val="en-GB"/>
              </w:rPr>
              <w:t>Е</w:t>
            </w:r>
          </w:p>
        </w:tc>
        <w:tc>
          <w:tcPr>
            <w:tcW w:w="3581" w:type="dxa"/>
            <w:vMerge w:val="continue"/>
            <w:tcBorders>
              <w:top w:val="single" w:color="000000" w:sz="4" w:space="0"/>
              <w:left w:val="single" w:color="000000" w:sz="4" w:space="0"/>
            </w:tcBorders>
            <w:shd w:val="clear" w:color="auto" w:fill="FFFFFF"/>
          </w:tcPr>
          <w:p w14:paraId="156F72C4">
            <w:pPr>
              <w:pStyle w:val="56"/>
              <w:ind w:left="127" w:right="35"/>
              <w:jc w:val="both"/>
              <w:rPr>
                <w:rFonts w:ascii="Times New Roman" w:hAnsi="Times New Roman" w:cs="Times New Roman"/>
                <w:sz w:val="28"/>
                <w:szCs w:val="28"/>
                <w:lang w:val="en-GB"/>
              </w:rPr>
            </w:pPr>
          </w:p>
        </w:tc>
        <w:tc>
          <w:tcPr>
            <w:tcW w:w="2533" w:type="dxa"/>
            <w:vMerge w:val="continue"/>
            <w:tcBorders>
              <w:top w:val="single" w:color="000000" w:sz="4" w:space="0"/>
              <w:left w:val="single" w:color="000000" w:sz="4" w:space="0"/>
              <w:right w:val="single" w:color="000000" w:sz="4" w:space="0"/>
            </w:tcBorders>
            <w:shd w:val="clear" w:color="auto" w:fill="FFFFFF"/>
          </w:tcPr>
          <w:p w14:paraId="6F9275DC">
            <w:pPr>
              <w:pStyle w:val="56"/>
              <w:ind w:left="127" w:right="35"/>
              <w:jc w:val="both"/>
              <w:rPr>
                <w:rFonts w:ascii="Times New Roman" w:hAnsi="Times New Roman" w:cs="Times New Roman"/>
                <w:sz w:val="28"/>
                <w:szCs w:val="28"/>
                <w:lang w:val="en-GB"/>
              </w:rPr>
            </w:pPr>
          </w:p>
        </w:tc>
      </w:tr>
      <w:tr w14:paraId="6EEDEE46">
        <w:tblPrEx>
          <w:tblCellMar>
            <w:top w:w="0" w:type="dxa"/>
            <w:left w:w="0" w:type="dxa"/>
            <w:bottom w:w="0" w:type="dxa"/>
            <w:right w:w="0" w:type="dxa"/>
          </w:tblCellMar>
        </w:tblPrEx>
        <w:trPr>
          <w:trHeight w:val="1362" w:hRule="exact"/>
        </w:trPr>
        <w:tc>
          <w:tcPr>
            <w:tcW w:w="1970" w:type="dxa"/>
            <w:tcBorders>
              <w:top w:val="single" w:color="000000" w:sz="4" w:space="0"/>
              <w:left w:val="single" w:color="000000" w:sz="4" w:space="0"/>
            </w:tcBorders>
            <w:shd w:val="clear" w:color="auto" w:fill="FFFFFF"/>
          </w:tcPr>
          <w:p w14:paraId="4EAF4384">
            <w:pPr>
              <w:pStyle w:val="56"/>
              <w:ind w:left="127" w:right="35"/>
              <w:jc w:val="center"/>
              <w:rPr>
                <w:rFonts w:ascii="Times New Roman" w:hAnsi="Times New Roman" w:cs="Times New Roman"/>
                <w:sz w:val="28"/>
                <w:szCs w:val="28"/>
                <w:lang w:val="en-GB"/>
              </w:rPr>
            </w:pPr>
            <w:r>
              <w:rPr>
                <w:rFonts w:ascii="Times New Roman" w:hAnsi="Times New Roman" w:cs="Times New Roman"/>
                <w:sz w:val="28"/>
                <w:szCs w:val="28"/>
                <w:lang w:val="en-GB"/>
              </w:rPr>
              <w:t>35 – 59</w:t>
            </w:r>
          </w:p>
        </w:tc>
        <w:tc>
          <w:tcPr>
            <w:tcW w:w="1540" w:type="dxa"/>
            <w:tcBorders>
              <w:top w:val="single" w:color="000000" w:sz="4" w:space="0"/>
              <w:left w:val="single" w:color="000000" w:sz="4" w:space="0"/>
            </w:tcBorders>
            <w:shd w:val="clear" w:color="auto" w:fill="FFFFFF"/>
          </w:tcPr>
          <w:p w14:paraId="34BDF86B">
            <w:pPr>
              <w:pStyle w:val="56"/>
              <w:ind w:left="127" w:right="35"/>
              <w:jc w:val="center"/>
              <w:rPr>
                <w:rFonts w:ascii="Times New Roman" w:hAnsi="Times New Roman" w:cs="Times New Roman"/>
                <w:sz w:val="28"/>
                <w:szCs w:val="28"/>
                <w:lang w:val="en-GB"/>
              </w:rPr>
            </w:pPr>
            <w:r>
              <w:rPr>
                <w:rFonts w:ascii="Times New Roman" w:hAnsi="Times New Roman" w:cs="Times New Roman"/>
                <w:sz w:val="28"/>
                <w:szCs w:val="28"/>
                <w:lang w:val="en-GB"/>
              </w:rPr>
              <w:t>FХ</w:t>
            </w:r>
          </w:p>
        </w:tc>
        <w:tc>
          <w:tcPr>
            <w:tcW w:w="3581" w:type="dxa"/>
            <w:tcBorders>
              <w:top w:val="single" w:color="000000" w:sz="4" w:space="0"/>
              <w:left w:val="single" w:color="000000" w:sz="4" w:space="0"/>
            </w:tcBorders>
            <w:shd w:val="clear" w:color="auto" w:fill="FFFFFF"/>
          </w:tcPr>
          <w:p w14:paraId="76EFF610">
            <w:pPr>
              <w:pStyle w:val="56"/>
              <w:ind w:left="127" w:right="35"/>
              <w:jc w:val="both"/>
              <w:rPr>
                <w:rFonts w:ascii="Times New Roman" w:hAnsi="Times New Roman" w:cs="Times New Roman"/>
                <w:sz w:val="28"/>
                <w:szCs w:val="28"/>
                <w:lang w:val="en-GB"/>
              </w:rPr>
            </w:pPr>
            <w:r>
              <w:rPr>
                <w:rFonts w:ascii="Times New Roman" w:hAnsi="Times New Roman" w:cs="Times New Roman"/>
                <w:sz w:val="28"/>
                <w:szCs w:val="28"/>
                <w:lang w:val="en-GB"/>
              </w:rPr>
              <w:t>unsatisfactory with the possibility of retaking</w:t>
            </w:r>
          </w:p>
        </w:tc>
        <w:tc>
          <w:tcPr>
            <w:tcW w:w="2533" w:type="dxa"/>
            <w:tcBorders>
              <w:top w:val="single" w:color="000000" w:sz="4" w:space="0"/>
              <w:left w:val="single" w:color="000000" w:sz="4" w:space="0"/>
              <w:right w:val="single" w:color="000000" w:sz="4" w:space="0"/>
            </w:tcBorders>
            <w:shd w:val="clear" w:color="auto" w:fill="FFFFFF"/>
          </w:tcPr>
          <w:p w14:paraId="6EBFB1CE">
            <w:pPr>
              <w:pStyle w:val="56"/>
              <w:ind w:left="127" w:right="35"/>
              <w:jc w:val="both"/>
              <w:rPr>
                <w:rFonts w:ascii="Times New Roman" w:hAnsi="Times New Roman" w:cs="Times New Roman"/>
                <w:sz w:val="28"/>
                <w:szCs w:val="28"/>
                <w:lang w:val="en-GB"/>
              </w:rPr>
            </w:pPr>
            <w:r>
              <w:rPr>
                <w:rFonts w:ascii="Times New Roman" w:hAnsi="Times New Roman" w:cs="Times New Roman"/>
                <w:sz w:val="28"/>
                <w:szCs w:val="28"/>
                <w:lang w:val="en-GB"/>
              </w:rPr>
              <w:t>fail</w:t>
            </w:r>
          </w:p>
          <w:p w14:paraId="4B151E8D">
            <w:pPr>
              <w:pStyle w:val="56"/>
              <w:ind w:left="127" w:right="35"/>
              <w:jc w:val="both"/>
              <w:rPr>
                <w:rFonts w:ascii="Times New Roman" w:hAnsi="Times New Roman" w:cs="Times New Roman"/>
                <w:sz w:val="28"/>
                <w:szCs w:val="28"/>
                <w:lang w:val="en-GB"/>
              </w:rPr>
            </w:pPr>
          </w:p>
          <w:p w14:paraId="0441E4AA">
            <w:pPr>
              <w:pStyle w:val="56"/>
              <w:ind w:left="127" w:right="35"/>
              <w:jc w:val="both"/>
              <w:rPr>
                <w:rFonts w:ascii="Times New Roman" w:hAnsi="Times New Roman" w:cs="Times New Roman"/>
                <w:sz w:val="28"/>
                <w:szCs w:val="28"/>
                <w:lang w:val="en-GB"/>
              </w:rPr>
            </w:pPr>
            <w:r>
              <w:rPr>
                <w:rFonts w:ascii="Times New Roman" w:hAnsi="Times New Roman" w:cs="Times New Roman"/>
                <w:sz w:val="28"/>
                <w:szCs w:val="28"/>
                <w:lang w:val="en-GB"/>
              </w:rPr>
              <w:t>unsatisfactory with the possibility of retaking</w:t>
            </w:r>
          </w:p>
        </w:tc>
      </w:tr>
      <w:tr w14:paraId="39C028B1">
        <w:tblPrEx>
          <w:tblCellMar>
            <w:top w:w="0" w:type="dxa"/>
            <w:left w:w="0" w:type="dxa"/>
            <w:bottom w:w="0" w:type="dxa"/>
            <w:right w:w="0" w:type="dxa"/>
          </w:tblCellMar>
        </w:tblPrEx>
        <w:trPr>
          <w:trHeight w:val="1713" w:hRule="exact"/>
        </w:trPr>
        <w:tc>
          <w:tcPr>
            <w:tcW w:w="1970" w:type="dxa"/>
            <w:tcBorders>
              <w:top w:val="single" w:color="000000" w:sz="4" w:space="0"/>
              <w:left w:val="single" w:color="000000" w:sz="4" w:space="0"/>
              <w:bottom w:val="single" w:color="000000" w:sz="4" w:space="0"/>
            </w:tcBorders>
            <w:shd w:val="clear" w:color="auto" w:fill="FFFFFF"/>
          </w:tcPr>
          <w:p w14:paraId="38DAED30">
            <w:pPr>
              <w:pStyle w:val="56"/>
              <w:ind w:left="127" w:right="35"/>
              <w:jc w:val="center"/>
              <w:rPr>
                <w:rFonts w:ascii="Times New Roman" w:hAnsi="Times New Roman" w:cs="Times New Roman"/>
                <w:sz w:val="28"/>
                <w:szCs w:val="28"/>
                <w:lang w:val="en-GB"/>
              </w:rPr>
            </w:pPr>
            <w:r>
              <w:rPr>
                <w:rFonts w:ascii="Times New Roman" w:hAnsi="Times New Roman" w:cs="Times New Roman"/>
                <w:sz w:val="28"/>
                <w:szCs w:val="28"/>
                <w:lang w:val="en-GB"/>
              </w:rPr>
              <w:t>0 – 34</w:t>
            </w:r>
          </w:p>
        </w:tc>
        <w:tc>
          <w:tcPr>
            <w:tcW w:w="1540" w:type="dxa"/>
            <w:tcBorders>
              <w:top w:val="single" w:color="000000" w:sz="4" w:space="0"/>
              <w:left w:val="single" w:color="000000" w:sz="4" w:space="0"/>
              <w:bottom w:val="single" w:color="000000" w:sz="4" w:space="0"/>
            </w:tcBorders>
            <w:shd w:val="clear" w:color="auto" w:fill="FFFFFF"/>
          </w:tcPr>
          <w:p w14:paraId="41CA2AB8">
            <w:pPr>
              <w:pStyle w:val="56"/>
              <w:ind w:left="127" w:right="35"/>
              <w:jc w:val="center"/>
              <w:rPr>
                <w:rFonts w:ascii="Times New Roman" w:hAnsi="Times New Roman" w:cs="Times New Roman"/>
                <w:sz w:val="28"/>
                <w:szCs w:val="28"/>
                <w:lang w:val="en-GB"/>
              </w:rPr>
            </w:pPr>
            <w:r>
              <w:rPr>
                <w:rFonts w:ascii="Times New Roman" w:hAnsi="Times New Roman" w:cs="Times New Roman"/>
                <w:sz w:val="28"/>
                <w:szCs w:val="28"/>
                <w:lang w:val="en-GB"/>
              </w:rPr>
              <w:t>F</w:t>
            </w:r>
          </w:p>
        </w:tc>
        <w:tc>
          <w:tcPr>
            <w:tcW w:w="3581" w:type="dxa"/>
            <w:tcBorders>
              <w:top w:val="single" w:color="000000" w:sz="4" w:space="0"/>
              <w:left w:val="single" w:color="000000" w:sz="4" w:space="0"/>
              <w:bottom w:val="single" w:color="000000" w:sz="4" w:space="0"/>
            </w:tcBorders>
            <w:shd w:val="clear" w:color="auto" w:fill="FFFFFF"/>
          </w:tcPr>
          <w:p w14:paraId="03D5BE59">
            <w:pPr>
              <w:pStyle w:val="56"/>
              <w:ind w:left="127" w:right="35"/>
              <w:jc w:val="both"/>
              <w:rPr>
                <w:rFonts w:ascii="Times New Roman" w:hAnsi="Times New Roman" w:cs="Times New Roman"/>
                <w:sz w:val="28"/>
                <w:szCs w:val="28"/>
                <w:lang w:val="en-GB"/>
              </w:rPr>
            </w:pPr>
            <w:r>
              <w:rPr>
                <w:rFonts w:ascii="Times New Roman" w:hAnsi="Times New Roman" w:cs="Times New Roman"/>
                <w:sz w:val="28"/>
                <w:szCs w:val="28"/>
                <w:lang w:val="en-GB"/>
              </w:rPr>
              <w:t>unsatisfactory with mandatory re-study of the discipline</w:t>
            </w:r>
          </w:p>
        </w:tc>
        <w:tc>
          <w:tcPr>
            <w:tcW w:w="2533" w:type="dxa"/>
            <w:tcBorders>
              <w:top w:val="single" w:color="000000" w:sz="4" w:space="0"/>
              <w:left w:val="single" w:color="000000" w:sz="4" w:space="0"/>
              <w:bottom w:val="single" w:color="000000" w:sz="4" w:space="0"/>
              <w:right w:val="single" w:color="000000" w:sz="4" w:space="0"/>
            </w:tcBorders>
            <w:shd w:val="clear" w:color="auto" w:fill="FFFFFF"/>
          </w:tcPr>
          <w:p w14:paraId="39F40638">
            <w:pPr>
              <w:pStyle w:val="56"/>
              <w:ind w:left="127" w:right="35"/>
              <w:jc w:val="both"/>
              <w:rPr>
                <w:rFonts w:ascii="Times New Roman" w:hAnsi="Times New Roman" w:cs="Times New Roman"/>
                <w:sz w:val="28"/>
                <w:szCs w:val="28"/>
                <w:lang w:val="en-GB"/>
              </w:rPr>
            </w:pPr>
            <w:r>
              <w:rPr>
                <w:rFonts w:ascii="Times New Roman" w:hAnsi="Times New Roman" w:cs="Times New Roman"/>
                <w:sz w:val="28"/>
                <w:szCs w:val="28"/>
                <w:lang w:val="en-GB"/>
              </w:rPr>
              <w:t>fail</w:t>
            </w:r>
          </w:p>
          <w:p w14:paraId="619F5A6C">
            <w:pPr>
              <w:pStyle w:val="56"/>
              <w:ind w:left="127" w:right="35"/>
              <w:jc w:val="both"/>
              <w:rPr>
                <w:rFonts w:ascii="Times New Roman" w:hAnsi="Times New Roman" w:cs="Times New Roman"/>
                <w:sz w:val="28"/>
                <w:szCs w:val="28"/>
                <w:lang w:val="en-GB"/>
              </w:rPr>
            </w:pPr>
          </w:p>
          <w:p w14:paraId="395CD766">
            <w:pPr>
              <w:pStyle w:val="56"/>
              <w:ind w:left="127" w:right="35"/>
              <w:jc w:val="both"/>
              <w:rPr>
                <w:rFonts w:ascii="Times New Roman" w:hAnsi="Times New Roman" w:cs="Times New Roman"/>
                <w:sz w:val="28"/>
                <w:szCs w:val="28"/>
                <w:lang w:val="en-GB"/>
              </w:rPr>
            </w:pPr>
            <w:r>
              <w:rPr>
                <w:rFonts w:ascii="Times New Roman" w:hAnsi="Times New Roman" w:cs="Times New Roman"/>
                <w:sz w:val="28"/>
                <w:szCs w:val="28"/>
                <w:lang w:val="en-GB"/>
              </w:rPr>
              <w:t>unsatisfactory with mandatory re-study of the discipline</w:t>
            </w:r>
          </w:p>
        </w:tc>
      </w:tr>
    </w:tbl>
    <w:p w14:paraId="548281B7">
      <w:pPr>
        <w:pBdr>
          <w:top w:val="none" w:color="auto" w:sz="0" w:space="0"/>
          <w:left w:val="none" w:color="auto" w:sz="0" w:space="0"/>
          <w:bottom w:val="none" w:color="auto" w:sz="0" w:space="0"/>
          <w:right w:val="none" w:color="auto" w:sz="0" w:space="0"/>
          <w:between w:val="none" w:color="auto" w:sz="0" w:space="0"/>
        </w:pBdr>
        <w:ind w:firstLine="720"/>
        <w:jc w:val="both"/>
        <w:rPr>
          <w:b/>
          <w:bCs/>
          <w:color w:val="000000"/>
          <w:sz w:val="28"/>
          <w:szCs w:val="28"/>
          <w:lang w:val="en-US"/>
        </w:rPr>
      </w:pPr>
    </w:p>
    <w:p w14:paraId="1BE5D077">
      <w:pPr>
        <w:pBdr>
          <w:top w:val="none" w:color="auto" w:sz="0" w:space="0"/>
          <w:left w:val="none" w:color="auto" w:sz="0" w:space="0"/>
          <w:bottom w:val="none" w:color="auto" w:sz="0" w:space="0"/>
          <w:right w:val="none" w:color="auto" w:sz="0" w:space="0"/>
          <w:between w:val="none" w:color="auto" w:sz="0" w:space="0"/>
        </w:pBdr>
        <w:ind w:firstLine="720"/>
        <w:jc w:val="both"/>
        <w:rPr>
          <w:b/>
          <w:bCs/>
          <w:color w:val="000000"/>
          <w:sz w:val="28"/>
          <w:szCs w:val="28"/>
          <w:lang w:val="en-US"/>
        </w:rPr>
      </w:pPr>
      <w:r>
        <w:rPr>
          <w:b/>
          <w:bCs/>
          <w:color w:val="000000"/>
          <w:sz w:val="28"/>
          <w:szCs w:val="28"/>
          <w:lang w:val="en-US"/>
        </w:rPr>
        <w:t>Discipline’s Policy:</w:t>
      </w:r>
    </w:p>
    <w:p w14:paraId="5A7B279E">
      <w:pPr>
        <w:pBdr>
          <w:top w:val="none" w:color="auto" w:sz="0" w:space="0"/>
          <w:left w:val="none" w:color="auto" w:sz="0" w:space="0"/>
          <w:bottom w:val="none" w:color="auto" w:sz="0" w:space="0"/>
          <w:right w:val="none" w:color="auto" w:sz="0" w:space="0"/>
          <w:between w:val="none" w:color="auto" w:sz="0" w:space="0"/>
        </w:pBdr>
        <w:ind w:firstLine="720"/>
        <w:jc w:val="both"/>
        <w:rPr>
          <w:color w:val="000000"/>
          <w:sz w:val="28"/>
          <w:szCs w:val="28"/>
          <w:lang w:val="en-US"/>
        </w:rPr>
      </w:pPr>
      <w:r>
        <w:rPr>
          <w:color w:val="000000"/>
          <w:sz w:val="28"/>
          <w:szCs w:val="28"/>
          <w:lang w:val="en-US"/>
        </w:rPr>
        <w:t>- regularly attend lectures and practical classes;</w:t>
      </w:r>
    </w:p>
    <w:p w14:paraId="41ABAFB1">
      <w:pPr>
        <w:pBdr>
          <w:top w:val="none" w:color="auto" w:sz="0" w:space="0"/>
          <w:left w:val="none" w:color="auto" w:sz="0" w:space="0"/>
          <w:bottom w:val="none" w:color="auto" w:sz="0" w:space="0"/>
          <w:right w:val="none" w:color="auto" w:sz="0" w:space="0"/>
          <w:between w:val="none" w:color="auto" w:sz="0" w:space="0"/>
        </w:pBdr>
        <w:ind w:firstLine="720"/>
        <w:jc w:val="both"/>
        <w:rPr>
          <w:color w:val="000000"/>
          <w:sz w:val="28"/>
          <w:szCs w:val="28"/>
          <w:lang w:val="en-US"/>
        </w:rPr>
      </w:pPr>
      <w:r>
        <w:rPr>
          <w:color w:val="000000"/>
          <w:sz w:val="28"/>
          <w:szCs w:val="28"/>
          <w:lang w:val="en-US"/>
        </w:rPr>
        <w:t>- work systematically and actively in lectures and practical classes;</w:t>
      </w:r>
    </w:p>
    <w:p w14:paraId="727FE43A">
      <w:pPr>
        <w:pBdr>
          <w:top w:val="none" w:color="auto" w:sz="0" w:space="0"/>
          <w:left w:val="none" w:color="auto" w:sz="0" w:space="0"/>
          <w:bottom w:val="none" w:color="auto" w:sz="0" w:space="0"/>
          <w:right w:val="none" w:color="auto" w:sz="0" w:space="0"/>
          <w:between w:val="none" w:color="auto" w:sz="0" w:space="0"/>
        </w:pBdr>
        <w:ind w:firstLine="720"/>
        <w:jc w:val="both"/>
        <w:rPr>
          <w:color w:val="000000"/>
          <w:sz w:val="28"/>
          <w:szCs w:val="28"/>
          <w:lang w:val="en-US"/>
        </w:rPr>
      </w:pPr>
      <w:r>
        <w:rPr>
          <w:color w:val="000000"/>
          <w:sz w:val="28"/>
          <w:szCs w:val="28"/>
          <w:lang w:val="en-US"/>
        </w:rPr>
        <w:t>- catch-up on missed classes;</w:t>
      </w:r>
    </w:p>
    <w:p w14:paraId="2F63777D">
      <w:pPr>
        <w:pBdr>
          <w:top w:val="none" w:color="auto" w:sz="0" w:space="0"/>
          <w:left w:val="none" w:color="auto" w:sz="0" w:space="0"/>
          <w:bottom w:val="none" w:color="auto" w:sz="0" w:space="0"/>
          <w:right w:val="none" w:color="auto" w:sz="0" w:space="0"/>
          <w:between w:val="none" w:color="auto" w:sz="0" w:space="0"/>
        </w:pBdr>
        <w:ind w:firstLine="720"/>
        <w:jc w:val="both"/>
        <w:rPr>
          <w:color w:val="000000"/>
          <w:sz w:val="28"/>
          <w:szCs w:val="28"/>
          <w:lang w:val="en-US"/>
        </w:rPr>
      </w:pPr>
      <w:r>
        <w:rPr>
          <w:color w:val="000000"/>
          <w:sz w:val="28"/>
          <w:szCs w:val="28"/>
          <w:lang w:val="en-US"/>
        </w:rPr>
        <w:t>- perform the tasks required by the syllabus in full and with appropriate quality;</w:t>
      </w:r>
    </w:p>
    <w:p w14:paraId="15EBB7FA">
      <w:pPr>
        <w:pBdr>
          <w:top w:val="none" w:color="auto" w:sz="0" w:space="0"/>
          <w:left w:val="none" w:color="auto" w:sz="0" w:space="0"/>
          <w:bottom w:val="none" w:color="auto" w:sz="0" w:space="0"/>
          <w:right w:val="none" w:color="auto" w:sz="0" w:space="0"/>
          <w:between w:val="none" w:color="auto" w:sz="0" w:space="0"/>
        </w:pBdr>
        <w:ind w:firstLine="720"/>
        <w:jc w:val="both"/>
        <w:rPr>
          <w:color w:val="000000"/>
          <w:sz w:val="28"/>
          <w:szCs w:val="28"/>
          <w:lang w:val="en-US"/>
        </w:rPr>
      </w:pPr>
      <w:r>
        <w:rPr>
          <w:color w:val="000000"/>
          <w:sz w:val="28"/>
          <w:szCs w:val="28"/>
          <w:lang w:val="en-US"/>
        </w:rPr>
        <w:t>- perform control and other independent work;</w:t>
      </w:r>
    </w:p>
    <w:p w14:paraId="0EFDA2D4">
      <w:pPr>
        <w:pBdr>
          <w:top w:val="none" w:color="auto" w:sz="0" w:space="0"/>
          <w:left w:val="none" w:color="auto" w:sz="0" w:space="0"/>
          <w:bottom w:val="none" w:color="auto" w:sz="0" w:space="0"/>
          <w:right w:val="none" w:color="auto" w:sz="0" w:space="0"/>
          <w:between w:val="none" w:color="auto" w:sz="0" w:space="0"/>
        </w:pBdr>
        <w:ind w:firstLine="720"/>
        <w:jc w:val="both"/>
        <w:rPr>
          <w:color w:val="000000"/>
          <w:sz w:val="28"/>
          <w:szCs w:val="28"/>
          <w:lang w:val="en-US"/>
        </w:rPr>
      </w:pPr>
      <w:r>
        <w:rPr>
          <w:color w:val="000000"/>
          <w:sz w:val="28"/>
          <w:szCs w:val="28"/>
          <w:lang w:val="en-US"/>
        </w:rPr>
        <w:t>- adhere to the norms of academic behaviour and ethics.</w:t>
      </w:r>
    </w:p>
    <w:p w14:paraId="335C4A8D">
      <w:pPr>
        <w:pBdr>
          <w:top w:val="none" w:color="auto" w:sz="0" w:space="0"/>
          <w:left w:val="none" w:color="auto" w:sz="0" w:space="0"/>
          <w:bottom w:val="none" w:color="auto" w:sz="0" w:space="0"/>
          <w:right w:val="none" w:color="auto" w:sz="0" w:space="0"/>
          <w:between w:val="none" w:color="auto" w:sz="0" w:space="0"/>
        </w:pBdr>
        <w:ind w:firstLine="720"/>
        <w:jc w:val="both"/>
        <w:rPr>
          <w:color w:val="000000"/>
          <w:sz w:val="28"/>
          <w:szCs w:val="28"/>
          <w:lang w:val="en-US"/>
        </w:rPr>
      </w:pPr>
    </w:p>
    <w:p w14:paraId="76A4CB27">
      <w:pPr>
        <w:pBdr>
          <w:top w:val="none" w:color="auto" w:sz="0" w:space="0"/>
          <w:left w:val="none" w:color="auto" w:sz="0" w:space="0"/>
          <w:bottom w:val="none" w:color="auto" w:sz="0" w:space="0"/>
          <w:right w:val="none" w:color="auto" w:sz="0" w:space="0"/>
          <w:between w:val="none" w:color="auto" w:sz="0" w:space="0"/>
        </w:pBdr>
        <w:ind w:firstLine="720"/>
        <w:jc w:val="both"/>
        <w:rPr>
          <w:color w:val="000000"/>
          <w:sz w:val="28"/>
          <w:szCs w:val="28"/>
          <w:lang w:val="en-US"/>
        </w:rPr>
      </w:pPr>
      <w:r>
        <w:rPr>
          <w:color w:val="000000"/>
          <w:sz w:val="28"/>
          <w:szCs w:val="28"/>
          <w:lang w:val="en-US"/>
        </w:rPr>
        <w:t>The academic discipline “</w:t>
      </w:r>
      <w:r>
        <w:rPr>
          <w:bCs/>
          <w:sz w:val="28"/>
          <w:szCs w:val="28"/>
          <w:lang w:val="en-GB"/>
        </w:rPr>
        <w:t>Fundamentals of entrepreneurial activity</w:t>
      </w:r>
      <w:r>
        <w:rPr>
          <w:sz w:val="28"/>
          <w:szCs w:val="28"/>
          <w:lang w:val="en-GB" w:eastAsia="en-US"/>
        </w:rPr>
        <w:t>”</w:t>
      </w:r>
      <w:r>
        <w:rPr>
          <w:color w:val="000000"/>
          <w:sz w:val="28"/>
          <w:szCs w:val="28"/>
          <w:lang w:val="en-US"/>
        </w:rPr>
        <w:t xml:space="preserve"> requires adherence to the principles of ethics and academic integrity, with particular emphasis on preventing plagiarism in all its forms. All written assignments, reports, essays, abstracts, and presentations must be original, authored by the student, and not overloaded with quotations, which must be accompanied by references to primary sources. Violations of academic integrity include academic plagiarism, self-plagiarism, fabrication, falsification, copying, deception, bribery, and biased evaluation.</w:t>
      </w:r>
    </w:p>
    <w:p w14:paraId="2B127F65">
      <w:pPr>
        <w:pBdr>
          <w:top w:val="none" w:color="auto" w:sz="0" w:space="0"/>
          <w:left w:val="none" w:color="auto" w:sz="0" w:space="0"/>
          <w:bottom w:val="none" w:color="auto" w:sz="0" w:space="0"/>
          <w:right w:val="none" w:color="auto" w:sz="0" w:space="0"/>
          <w:between w:val="none" w:color="auto" w:sz="0" w:space="0"/>
        </w:pBdr>
        <w:ind w:firstLine="720"/>
        <w:jc w:val="both"/>
        <w:rPr>
          <w:color w:val="000000"/>
          <w:sz w:val="28"/>
          <w:szCs w:val="28"/>
        </w:rPr>
      </w:pPr>
    </w:p>
    <w:p w14:paraId="7FAE12A4">
      <w:pPr>
        <w:pBdr>
          <w:top w:val="none" w:color="auto" w:sz="0" w:space="0"/>
          <w:left w:val="none" w:color="auto" w:sz="0" w:space="0"/>
          <w:bottom w:val="none" w:color="auto" w:sz="0" w:space="0"/>
          <w:right w:val="none" w:color="auto" w:sz="0" w:space="0"/>
          <w:between w:val="none" w:color="auto" w:sz="0" w:space="0"/>
        </w:pBdr>
        <w:ind w:firstLine="720"/>
        <w:jc w:val="both"/>
        <w:rPr>
          <w:color w:val="000000"/>
          <w:sz w:val="28"/>
          <w:szCs w:val="28"/>
          <w:lang w:val="en-US"/>
        </w:rPr>
      </w:pPr>
      <w:r>
        <w:rPr>
          <w:color w:val="000000"/>
          <w:sz w:val="28"/>
          <w:szCs w:val="28"/>
          <w:lang w:val="en-US"/>
        </w:rPr>
        <w:t>Student assessment is based on participation and activity in seminar/practical classes, completion of independent work tasks, and performance of assignments aimed at developing practical skills and competencies. Additional (bonus) points may be awarded for activities such as participation in round-table discussions, scientific conferences, or student research competitions.</w:t>
      </w:r>
    </w:p>
    <w:p w14:paraId="540E0C52">
      <w:pPr>
        <w:pBdr>
          <w:top w:val="none" w:color="auto" w:sz="0" w:space="0"/>
          <w:left w:val="none" w:color="auto" w:sz="0" w:space="0"/>
          <w:bottom w:val="none" w:color="auto" w:sz="0" w:space="0"/>
          <w:right w:val="none" w:color="auto" w:sz="0" w:space="0"/>
          <w:between w:val="none" w:color="auto" w:sz="0" w:space="0"/>
        </w:pBdr>
        <w:ind w:firstLine="720"/>
        <w:jc w:val="both"/>
        <w:rPr>
          <w:color w:val="000000"/>
          <w:sz w:val="28"/>
          <w:szCs w:val="28"/>
          <w:lang w:val="en-US"/>
        </w:rPr>
      </w:pPr>
    </w:p>
    <w:p w14:paraId="39FB919D">
      <w:pPr>
        <w:pBdr>
          <w:top w:val="none" w:color="auto" w:sz="0" w:space="0"/>
          <w:left w:val="none" w:color="auto" w:sz="0" w:space="0"/>
          <w:bottom w:val="none" w:color="auto" w:sz="0" w:space="0"/>
          <w:right w:val="none" w:color="auto" w:sz="0" w:space="0"/>
          <w:between w:val="none" w:color="auto" w:sz="0" w:space="0"/>
        </w:pBdr>
        <w:ind w:firstLine="720"/>
        <w:jc w:val="both"/>
        <w:rPr>
          <w:b/>
          <w:bCs/>
          <w:color w:val="000000"/>
          <w:sz w:val="28"/>
          <w:szCs w:val="28"/>
          <w:lang w:val="en-US"/>
        </w:rPr>
      </w:pPr>
      <w:r>
        <w:rPr>
          <w:b/>
          <w:bCs/>
          <w:color w:val="000000"/>
          <w:sz w:val="28"/>
          <w:szCs w:val="28"/>
          <w:lang w:val="en-US"/>
        </w:rPr>
        <w:t>Methodological support of the academic discipline</w:t>
      </w:r>
    </w:p>
    <w:p w14:paraId="030DF620">
      <w:pPr>
        <w:pBdr>
          <w:top w:val="none" w:color="auto" w:sz="0" w:space="0"/>
          <w:left w:val="none" w:color="auto" w:sz="0" w:space="0"/>
          <w:bottom w:val="none" w:color="auto" w:sz="0" w:space="0"/>
          <w:right w:val="none" w:color="auto" w:sz="0" w:space="0"/>
          <w:between w:val="none" w:color="auto" w:sz="0" w:space="0"/>
        </w:pBdr>
        <w:ind w:firstLine="720"/>
        <w:jc w:val="both"/>
        <w:rPr>
          <w:color w:val="000000"/>
          <w:sz w:val="28"/>
          <w:szCs w:val="28"/>
          <w:lang w:val="en-US"/>
        </w:rPr>
      </w:pPr>
      <w:r>
        <w:rPr>
          <w:color w:val="000000"/>
          <w:sz w:val="28"/>
          <w:szCs w:val="28"/>
          <w:lang w:val="en-US"/>
        </w:rPr>
        <w:t>Teaching and methodological support for the discipline includes lecture notes, methodological guidelines for conducting practical (seminar) classes, and methodological recommendations for students’ independent work in the academic discipline “</w:t>
      </w:r>
      <w:r>
        <w:rPr>
          <w:bCs/>
          <w:sz w:val="28"/>
          <w:szCs w:val="28"/>
          <w:lang w:val="en-GB"/>
        </w:rPr>
        <w:t>Fundamentals of entrepreneurial activity</w:t>
      </w:r>
      <w:r>
        <w:rPr>
          <w:sz w:val="28"/>
          <w:szCs w:val="28"/>
          <w:lang w:val="en-GB" w:eastAsia="en-US"/>
        </w:rPr>
        <w:t>”</w:t>
      </w:r>
      <w:r>
        <w:rPr>
          <w:color w:val="000000"/>
          <w:sz w:val="28"/>
          <w:szCs w:val="28"/>
          <w:lang w:val="en-US"/>
        </w:rPr>
        <w:t>.</w:t>
      </w:r>
    </w:p>
    <w:p w14:paraId="49A7E50B">
      <w:pPr>
        <w:widowControl w:val="0"/>
        <w:shd w:val="clear" w:color="auto" w:fill="FFFFFF"/>
        <w:jc w:val="both"/>
        <w:rPr>
          <w:bCs/>
          <w:sz w:val="28"/>
          <w:szCs w:val="28"/>
          <w:lang w:val="en-GB"/>
        </w:rPr>
      </w:pPr>
    </w:p>
    <w:p w14:paraId="490AB269">
      <w:pPr>
        <w:pStyle w:val="18"/>
        <w:widowControl w:val="0"/>
        <w:tabs>
          <w:tab w:val="left" w:pos="993"/>
        </w:tabs>
        <w:spacing w:before="0" w:beforeAutospacing="0" w:after="0" w:afterAutospacing="0"/>
        <w:jc w:val="center"/>
        <w:rPr>
          <w:rFonts w:eastAsia="Calibri"/>
          <w:b/>
          <w:bCs/>
          <w:sz w:val="28"/>
          <w:szCs w:val="28"/>
          <w:lang w:val="en-GB"/>
        </w:rPr>
      </w:pPr>
      <w:r>
        <w:rPr>
          <w:rFonts w:eastAsia="Calibri"/>
          <w:b/>
          <w:bCs/>
          <w:sz w:val="28"/>
          <w:szCs w:val="28"/>
          <w:lang w:val="en-GB"/>
        </w:rPr>
        <w:t>Recommended sources of information:</w:t>
      </w:r>
    </w:p>
    <w:p w14:paraId="34C24C08">
      <w:pPr>
        <w:widowControl w:val="0"/>
        <w:ind w:right="-1"/>
        <w:rPr>
          <w:b/>
          <w:bCs/>
          <w:sz w:val="28"/>
          <w:szCs w:val="28"/>
          <w:lang w:val="en-GB"/>
        </w:rPr>
      </w:pPr>
      <w:r>
        <w:rPr>
          <w:rFonts w:eastAsia="Times New Roman"/>
          <w:b/>
          <w:sz w:val="28"/>
          <w:szCs w:val="28"/>
          <w:lang w:val="en-GB"/>
        </w:rPr>
        <w:t xml:space="preserve">Basic </w:t>
      </w:r>
      <w:r>
        <w:rPr>
          <w:rFonts w:eastAsia="Times New Roman"/>
          <w:b/>
          <w:sz w:val="28"/>
          <w:szCs w:val="28"/>
          <w:lang w:val="en-US"/>
        </w:rPr>
        <w:t>literature</w:t>
      </w:r>
      <w:r>
        <w:rPr>
          <w:b/>
          <w:bCs/>
          <w:sz w:val="28"/>
          <w:szCs w:val="28"/>
          <w:lang w:val="en-GB"/>
        </w:rPr>
        <w:t xml:space="preserve"> (legislative and regulatory acts):</w:t>
      </w:r>
    </w:p>
    <w:p w14:paraId="1CEBA6A6">
      <w:pPr>
        <w:pStyle w:val="18"/>
        <w:widowControl w:val="0"/>
        <w:numPr>
          <w:ilvl w:val="0"/>
          <w:numId w:val="4"/>
        </w:numPr>
        <w:spacing w:before="0" w:beforeAutospacing="0" w:after="0" w:afterAutospacing="0"/>
        <w:ind w:right="-1"/>
        <w:jc w:val="both"/>
        <w:rPr>
          <w:sz w:val="28"/>
          <w:szCs w:val="28"/>
          <w:lang w:val="en-GB"/>
        </w:rPr>
      </w:pPr>
      <w:r>
        <w:rPr>
          <w:sz w:val="28"/>
          <w:szCs w:val="28"/>
          <w:lang w:val="en-GB"/>
        </w:rPr>
        <w:t>Commercial Code of Ukraine: Law of Ukraine dated 16 January 2003 No. 436-IV // Verkhovna Rada of Ukraine. – Official publication. – URL: https://zakon.rada.gov.ua/laws/show/436-15</w:t>
      </w:r>
    </w:p>
    <w:p w14:paraId="1764FCAF">
      <w:pPr>
        <w:pStyle w:val="18"/>
        <w:widowControl w:val="0"/>
        <w:numPr>
          <w:ilvl w:val="0"/>
          <w:numId w:val="4"/>
        </w:numPr>
        <w:spacing w:before="0" w:beforeAutospacing="0" w:after="0" w:afterAutospacing="0"/>
        <w:ind w:right="-1"/>
        <w:jc w:val="both"/>
        <w:rPr>
          <w:sz w:val="28"/>
          <w:szCs w:val="28"/>
          <w:lang w:val="en-GB"/>
        </w:rPr>
      </w:pPr>
      <w:r>
        <w:rPr>
          <w:sz w:val="28"/>
          <w:szCs w:val="28"/>
          <w:lang w:val="en-GB"/>
        </w:rPr>
        <w:t>Civil Code of Ukraine: Law of Ukraine dated 16 January 2003 No. 435-IV // Verkhovna Rada of Ukraine. – Official publication. – URL: https://zakon.rada.gov.ua/laws/show/435-15</w:t>
      </w:r>
    </w:p>
    <w:p w14:paraId="183E78E7">
      <w:pPr>
        <w:pStyle w:val="18"/>
        <w:widowControl w:val="0"/>
        <w:numPr>
          <w:ilvl w:val="0"/>
          <w:numId w:val="4"/>
        </w:numPr>
        <w:spacing w:before="0" w:beforeAutospacing="0" w:after="0" w:afterAutospacing="0"/>
        <w:ind w:right="-1"/>
        <w:jc w:val="both"/>
        <w:rPr>
          <w:sz w:val="28"/>
          <w:szCs w:val="28"/>
          <w:lang w:val="en-GB"/>
        </w:rPr>
      </w:pPr>
      <w:r>
        <w:rPr>
          <w:sz w:val="28"/>
          <w:szCs w:val="28"/>
          <w:lang w:val="en-GB"/>
        </w:rPr>
        <w:t>Tax Code of Ukraine: Law of Ukraine dated 2 December 2010 No. 2755-VI // Verkhovna Rada of Ukraine. – Official publication. – URL: https://zakon.rada.gov.ua/laws/show/2755-17</w:t>
      </w:r>
    </w:p>
    <w:p w14:paraId="2FB0F9A8">
      <w:pPr>
        <w:pStyle w:val="18"/>
        <w:widowControl w:val="0"/>
        <w:numPr>
          <w:ilvl w:val="0"/>
          <w:numId w:val="4"/>
        </w:numPr>
        <w:spacing w:before="0" w:beforeAutospacing="0" w:after="0" w:afterAutospacing="0"/>
        <w:ind w:right="-1"/>
        <w:jc w:val="both"/>
        <w:rPr>
          <w:sz w:val="28"/>
          <w:szCs w:val="28"/>
          <w:lang w:val="en-GB"/>
        </w:rPr>
      </w:pPr>
      <w:r>
        <w:rPr>
          <w:sz w:val="28"/>
          <w:szCs w:val="28"/>
          <w:lang w:val="en-GB"/>
        </w:rPr>
        <w:t>Law of Ukraine "On Entrepreneurship": Law of Ukraine dated 07.02.1991 No. 698-XII // Verkhovna Rada of Ukraine. – Official publication. – URL: https://zakon.rada.gov.ua/laws/show/698-12</w:t>
      </w:r>
    </w:p>
    <w:p w14:paraId="33665D4D">
      <w:pPr>
        <w:pStyle w:val="18"/>
        <w:widowControl w:val="0"/>
        <w:numPr>
          <w:ilvl w:val="0"/>
          <w:numId w:val="4"/>
        </w:numPr>
        <w:spacing w:before="0" w:beforeAutospacing="0" w:after="0" w:afterAutospacing="0"/>
        <w:ind w:right="-1"/>
        <w:jc w:val="both"/>
        <w:rPr>
          <w:sz w:val="28"/>
          <w:szCs w:val="28"/>
          <w:lang w:val="en-GB"/>
        </w:rPr>
      </w:pPr>
      <w:r>
        <w:rPr>
          <w:sz w:val="28"/>
          <w:szCs w:val="28"/>
          <w:lang w:val="en-GB"/>
        </w:rPr>
        <w:t>Law of Ukraine "On Limited and Additional Liability Companies": Law of Ukraine dated 06.02.2018 No. 2275-VIII // Verkhovna Rada of Ukraine. – Official publication. – URL: https://zakon.rada.gov.ua/laws/show/2275-19</w:t>
      </w:r>
    </w:p>
    <w:p w14:paraId="79162072">
      <w:pPr>
        <w:pStyle w:val="18"/>
        <w:widowControl w:val="0"/>
        <w:numPr>
          <w:ilvl w:val="0"/>
          <w:numId w:val="4"/>
        </w:numPr>
        <w:spacing w:before="0" w:beforeAutospacing="0" w:after="0" w:afterAutospacing="0"/>
        <w:ind w:right="-1"/>
        <w:jc w:val="both"/>
        <w:rPr>
          <w:sz w:val="28"/>
          <w:szCs w:val="28"/>
          <w:lang w:val="en-GB"/>
        </w:rPr>
      </w:pPr>
      <w:r>
        <w:rPr>
          <w:sz w:val="28"/>
          <w:szCs w:val="28"/>
          <w:lang w:val="en-GB"/>
        </w:rPr>
        <w:t>Law of Ukraine "On Joint Stock Companies": Law of Ukraine dated 27.07.2022 No. 2465-IX // Verkhovna Rada of Ukraine. – Official publication. – URL: https://zakon.rada.gov.ua/laws/show/2465-20</w:t>
      </w:r>
    </w:p>
    <w:p w14:paraId="60E7AE92">
      <w:pPr>
        <w:pStyle w:val="18"/>
        <w:widowControl w:val="0"/>
        <w:numPr>
          <w:ilvl w:val="0"/>
          <w:numId w:val="4"/>
        </w:numPr>
        <w:spacing w:before="0" w:beforeAutospacing="0" w:after="0" w:afterAutospacing="0"/>
        <w:ind w:right="-1"/>
        <w:jc w:val="both"/>
        <w:rPr>
          <w:sz w:val="28"/>
          <w:szCs w:val="28"/>
          <w:lang w:val="en-GB"/>
        </w:rPr>
      </w:pPr>
      <w:r>
        <w:rPr>
          <w:sz w:val="28"/>
          <w:szCs w:val="28"/>
          <w:lang w:val="en-GB"/>
        </w:rPr>
        <w:t>Law of Ukraine "On State Registration of Legal Entities, Individual Entrepreneurs and Public Organisations": Law of Ukraine dated 15 May 2003 No. 755-IV // Verkhovna Rada of Ukraine. – Official publication. – URL: https://zakon.rada.gov.ua/laws/show/755-15</w:t>
      </w:r>
    </w:p>
    <w:p w14:paraId="33210C4E">
      <w:pPr>
        <w:pStyle w:val="18"/>
        <w:widowControl w:val="0"/>
        <w:numPr>
          <w:ilvl w:val="0"/>
          <w:numId w:val="4"/>
        </w:numPr>
        <w:spacing w:before="0" w:beforeAutospacing="0" w:after="0" w:afterAutospacing="0"/>
        <w:ind w:right="-1"/>
        <w:jc w:val="both"/>
        <w:rPr>
          <w:sz w:val="28"/>
          <w:szCs w:val="28"/>
          <w:lang w:val="en-GB"/>
        </w:rPr>
      </w:pPr>
      <w:r>
        <w:rPr>
          <w:sz w:val="28"/>
          <w:szCs w:val="28"/>
          <w:lang w:val="en-GB"/>
        </w:rPr>
        <w:t>Law of Ukraine "On Licensing of Economic Activities": Law of Ukraine dated 2 March 2015 No. 222-VIII // Verkhovna Rada of Ukraine. – Official publication. – URL: https://zakon.rada.gov.ua/laws/show/222-19</w:t>
      </w:r>
    </w:p>
    <w:p w14:paraId="15E1CA14">
      <w:pPr>
        <w:pStyle w:val="18"/>
        <w:widowControl w:val="0"/>
        <w:numPr>
          <w:ilvl w:val="0"/>
          <w:numId w:val="4"/>
        </w:numPr>
        <w:spacing w:before="0" w:beforeAutospacing="0" w:after="0" w:afterAutospacing="0"/>
        <w:ind w:right="-1"/>
        <w:jc w:val="both"/>
        <w:rPr>
          <w:sz w:val="28"/>
          <w:szCs w:val="28"/>
          <w:lang w:val="en-GB"/>
        </w:rPr>
      </w:pPr>
      <w:r>
        <w:rPr>
          <w:sz w:val="28"/>
          <w:szCs w:val="28"/>
          <w:lang w:val="en-GB"/>
        </w:rPr>
        <w:t>Law of Ukraine "On the Development and State Support of Small and Medium-Sized Enterprises in Ukraine": Law of Ukraine dated 22.03.2012 No. 4618-VI // Verkhovna Rada of Ukraine. – Official edition. – URL: https://zakon.rada.gov.ua/laws/show/4618-17</w:t>
      </w:r>
    </w:p>
    <w:p w14:paraId="12122E85">
      <w:pPr>
        <w:pStyle w:val="18"/>
        <w:widowControl w:val="0"/>
        <w:numPr>
          <w:ilvl w:val="0"/>
          <w:numId w:val="4"/>
        </w:numPr>
        <w:spacing w:before="0" w:beforeAutospacing="0" w:after="0" w:afterAutospacing="0"/>
        <w:ind w:right="-1"/>
        <w:jc w:val="both"/>
        <w:rPr>
          <w:sz w:val="28"/>
          <w:szCs w:val="28"/>
          <w:lang w:val="en-GB"/>
        </w:rPr>
      </w:pPr>
      <w:r>
        <w:rPr>
          <w:sz w:val="28"/>
          <w:szCs w:val="28"/>
          <w:lang w:val="en-GB"/>
        </w:rPr>
        <w:t>Law of Ukraine "On Protection of Economic Competition": Law of Ukraine dated 11 January 2001 No. 2210-III // Verkhovna Rada of Ukraine. – Official publication. – URL: https://zakon.rada.gov.ua/laws/show/2210-14</w:t>
      </w:r>
    </w:p>
    <w:p w14:paraId="5E8F6235">
      <w:pPr>
        <w:pStyle w:val="18"/>
        <w:widowControl w:val="0"/>
        <w:numPr>
          <w:ilvl w:val="0"/>
          <w:numId w:val="4"/>
        </w:numPr>
        <w:spacing w:before="0" w:beforeAutospacing="0" w:after="0" w:afterAutospacing="0"/>
        <w:ind w:right="-1"/>
        <w:jc w:val="both"/>
        <w:rPr>
          <w:sz w:val="28"/>
          <w:szCs w:val="28"/>
          <w:lang w:val="en-GB"/>
        </w:rPr>
      </w:pPr>
      <w:r>
        <w:rPr>
          <w:sz w:val="28"/>
          <w:szCs w:val="28"/>
          <w:lang w:val="en-GB"/>
        </w:rPr>
        <w:t xml:space="preserve">Law of Ukraine "On Protection of Consumer Rights": Law of Ukraine dated 12 May 1991 No. 1023-XII // Verkhovna Rada of Ukraine. – Official edition. – URL: </w:t>
      </w:r>
      <w:r>
        <w:fldChar w:fldCharType="begin"/>
      </w:r>
      <w:r>
        <w:instrText xml:space="preserve"> HYPERLINK "https://zakon.rada.gov.ua/laws/show/1023-12" </w:instrText>
      </w:r>
      <w:r>
        <w:fldChar w:fldCharType="separate"/>
      </w:r>
      <w:r>
        <w:rPr>
          <w:rStyle w:val="10"/>
          <w:color w:val="auto"/>
          <w:sz w:val="28"/>
          <w:szCs w:val="28"/>
          <w:lang w:val="en-GB"/>
        </w:rPr>
        <w:t>https://zakon.rada.gov.ua/laws/show/1023-12</w:t>
      </w:r>
      <w:r>
        <w:rPr>
          <w:rStyle w:val="10"/>
          <w:color w:val="auto"/>
          <w:sz w:val="28"/>
          <w:szCs w:val="28"/>
          <w:lang w:val="en-GB"/>
        </w:rPr>
        <w:fldChar w:fldCharType="end"/>
      </w:r>
    </w:p>
    <w:p w14:paraId="5FAF494E">
      <w:pPr>
        <w:pStyle w:val="18"/>
        <w:widowControl w:val="0"/>
        <w:spacing w:before="0" w:beforeAutospacing="0" w:after="0" w:afterAutospacing="0"/>
        <w:ind w:right="-1"/>
        <w:jc w:val="both"/>
        <w:rPr>
          <w:sz w:val="28"/>
          <w:szCs w:val="28"/>
          <w:lang w:val="en-GB"/>
        </w:rPr>
      </w:pPr>
    </w:p>
    <w:p w14:paraId="3DB76671">
      <w:pPr>
        <w:pStyle w:val="2"/>
        <w:widowControl w:val="0"/>
        <w:spacing w:before="0" w:after="0"/>
        <w:ind w:right="-1"/>
        <w:rPr>
          <w:rFonts w:ascii="Times New Roman" w:hAnsi="Times New Roman" w:eastAsia="Times New Roman" w:cs="Times New Roman"/>
          <w:i/>
          <w:iCs/>
          <w:sz w:val="28"/>
          <w:szCs w:val="28"/>
          <w:lang w:val="en-GB"/>
        </w:rPr>
      </w:pPr>
      <w:r>
        <w:rPr>
          <w:rFonts w:ascii="Times New Roman" w:hAnsi="Times New Roman" w:eastAsia="Times New Roman" w:cs="Times New Roman"/>
          <w:sz w:val="28"/>
          <w:szCs w:val="28"/>
          <w:lang w:val="en-GB"/>
        </w:rPr>
        <w:t>Additional literature</w:t>
      </w:r>
      <w:r>
        <w:rPr>
          <w:rFonts w:ascii="Times New Roman" w:hAnsi="Times New Roman" w:eastAsia="Times New Roman" w:cs="Times New Roman"/>
          <w:i/>
          <w:iCs/>
          <w:sz w:val="28"/>
          <w:szCs w:val="28"/>
          <w:lang w:val="en-GB"/>
        </w:rPr>
        <w:t>:</w:t>
      </w:r>
    </w:p>
    <w:p w14:paraId="3FE1D910">
      <w:pPr>
        <w:pStyle w:val="18"/>
        <w:widowControl w:val="0"/>
        <w:numPr>
          <w:ilvl w:val="0"/>
          <w:numId w:val="5"/>
        </w:numPr>
        <w:spacing w:before="0" w:beforeAutospacing="0" w:after="0" w:afterAutospacing="0"/>
        <w:ind w:left="714" w:hanging="357"/>
        <w:jc w:val="both"/>
        <w:rPr>
          <w:sz w:val="28"/>
          <w:szCs w:val="28"/>
          <w:lang w:val="en-GB"/>
        </w:rPr>
      </w:pPr>
      <w:r>
        <w:rPr>
          <w:sz w:val="28"/>
          <w:szCs w:val="28"/>
          <w:lang w:val="en-GB"/>
        </w:rPr>
        <w:t>Bodenchuk L. B., Bodenchuk P. S., Nidelchu V. V. Formation of a profit management system for an enterprise / Economy and Society, 2023, No. 50, p. — DOI: 10.32782/2524-0072/2023-50-25.</w:t>
      </w:r>
    </w:p>
    <w:p w14:paraId="565116C0">
      <w:pPr>
        <w:pStyle w:val="18"/>
        <w:widowControl w:val="0"/>
        <w:numPr>
          <w:ilvl w:val="0"/>
          <w:numId w:val="5"/>
        </w:numPr>
        <w:spacing w:before="0" w:beforeAutospacing="0" w:after="0" w:afterAutospacing="0"/>
        <w:ind w:left="714" w:hanging="357"/>
        <w:jc w:val="both"/>
        <w:rPr>
          <w:sz w:val="28"/>
          <w:szCs w:val="28"/>
          <w:lang w:val="en-GB"/>
        </w:rPr>
      </w:pPr>
      <w:r>
        <w:rPr>
          <w:sz w:val="28"/>
          <w:szCs w:val="28"/>
          <w:lang w:val="en-GB"/>
        </w:rPr>
        <w:t>Goy I. V., Smelyanska T. P. Entrepreneurship. Textbook. – Kyiv: TUL, 2019. – 368 p.</w:t>
      </w:r>
    </w:p>
    <w:p w14:paraId="7FE298B7">
      <w:pPr>
        <w:pStyle w:val="18"/>
        <w:widowControl w:val="0"/>
        <w:numPr>
          <w:ilvl w:val="0"/>
          <w:numId w:val="5"/>
        </w:numPr>
        <w:spacing w:before="0" w:beforeAutospacing="0" w:after="0" w:afterAutospacing="0"/>
        <w:ind w:left="714" w:hanging="357"/>
        <w:jc w:val="both"/>
        <w:rPr>
          <w:sz w:val="28"/>
          <w:szCs w:val="28"/>
          <w:lang w:val="en-GB"/>
        </w:rPr>
      </w:pPr>
      <w:r>
        <w:rPr>
          <w:sz w:val="28"/>
          <w:szCs w:val="28"/>
          <w:lang w:val="en-GB"/>
        </w:rPr>
        <w:t xml:space="preserve">Gontareva I. V. Entrepreneurship: Textbook. – Kharkiv: V. N. Karazin Kharkiv National University, 2021. – 392 p. </w:t>
      </w:r>
    </w:p>
    <w:p w14:paraId="3309A3EF">
      <w:pPr>
        <w:pStyle w:val="18"/>
        <w:widowControl w:val="0"/>
        <w:numPr>
          <w:ilvl w:val="0"/>
          <w:numId w:val="5"/>
        </w:numPr>
        <w:spacing w:before="0" w:beforeAutospacing="0" w:after="0" w:afterAutospacing="0"/>
        <w:ind w:left="714" w:hanging="357"/>
        <w:jc w:val="both"/>
        <w:rPr>
          <w:sz w:val="28"/>
          <w:szCs w:val="28"/>
          <w:lang w:val="en-GB"/>
        </w:rPr>
      </w:pPr>
      <w:r>
        <w:rPr>
          <w:sz w:val="28"/>
          <w:szCs w:val="28"/>
          <w:lang w:val="en-GB"/>
        </w:rPr>
        <w:t>Karpyuk H. I. Fundamentals of Entrepreneurship: Textbook — contains theoretical principles of entrepreneurship, legal foundations, algorithms for starting your own business, adapted content for vocational schools. — 2020.</w:t>
      </w:r>
    </w:p>
    <w:p w14:paraId="13E2E09E">
      <w:pPr>
        <w:pStyle w:val="18"/>
        <w:widowControl w:val="0"/>
        <w:numPr>
          <w:ilvl w:val="0"/>
          <w:numId w:val="5"/>
        </w:numPr>
        <w:spacing w:before="0" w:beforeAutospacing="0" w:after="0" w:afterAutospacing="0"/>
        <w:ind w:left="714" w:hanging="357"/>
        <w:jc w:val="both"/>
        <w:rPr>
          <w:sz w:val="28"/>
          <w:szCs w:val="28"/>
          <w:lang w:val="en-GB"/>
        </w:rPr>
      </w:pPr>
      <w:r>
        <w:rPr>
          <w:sz w:val="28"/>
          <w:szCs w:val="28"/>
          <w:lang w:val="en-GB"/>
        </w:rPr>
        <w:t>Collective monograph edited by I. V. Yurko, V. I. Misyukevych, P. Yu. Balaban. Main trends and prospects for the development of entrepreneurship in Ukraine — an analytical study of the current state and prospects of entrepreneurship in Ukraine. — Poltava: PUET, 2022.</w:t>
      </w:r>
    </w:p>
    <w:p w14:paraId="01CFCA3F">
      <w:pPr>
        <w:pStyle w:val="18"/>
        <w:widowControl w:val="0"/>
        <w:numPr>
          <w:ilvl w:val="0"/>
          <w:numId w:val="5"/>
        </w:numPr>
        <w:spacing w:before="0" w:beforeAutospacing="0" w:after="0" w:afterAutospacing="0"/>
        <w:ind w:left="714" w:hanging="357"/>
        <w:jc w:val="both"/>
        <w:rPr>
          <w:sz w:val="28"/>
          <w:szCs w:val="28"/>
          <w:lang w:val="en-GB"/>
        </w:rPr>
      </w:pPr>
      <w:r>
        <w:rPr>
          <w:sz w:val="28"/>
          <w:szCs w:val="28"/>
          <w:lang w:val="en-GB"/>
        </w:rPr>
        <w:t>Liganenko I., Bodenchuk L. Small and medium-sized businesses and digital platforms: opportunities and threats / European Scientific Journal of Economic and Financial Innovation, 2021, No. 1(7). – DOI: 10.32750/2021-0101</w:t>
      </w:r>
    </w:p>
    <w:p w14:paraId="1B8E72E2">
      <w:pPr>
        <w:pStyle w:val="18"/>
        <w:widowControl w:val="0"/>
        <w:numPr>
          <w:ilvl w:val="0"/>
          <w:numId w:val="5"/>
        </w:numPr>
        <w:spacing w:before="0" w:beforeAutospacing="0" w:after="0" w:afterAutospacing="0"/>
        <w:ind w:left="714" w:hanging="357"/>
        <w:jc w:val="both"/>
        <w:rPr>
          <w:sz w:val="28"/>
          <w:szCs w:val="28"/>
          <w:lang w:val="en-GB"/>
        </w:rPr>
      </w:pPr>
      <w:r>
        <w:rPr>
          <w:sz w:val="28"/>
          <w:szCs w:val="28"/>
          <w:lang w:val="en-GB"/>
        </w:rPr>
        <w:t>Marchenko V. M., Bilorus T. V., Okhrimenko I. I. Fundamentals of entrepreneurial activity: textbook. – Kyiv: Igor Sikorsky KPI, 2022. – 515 p.</w:t>
      </w:r>
    </w:p>
    <w:p w14:paraId="42DA1116">
      <w:pPr>
        <w:pStyle w:val="18"/>
        <w:widowControl w:val="0"/>
        <w:numPr>
          <w:ilvl w:val="0"/>
          <w:numId w:val="5"/>
        </w:numPr>
        <w:spacing w:before="0" w:beforeAutospacing="0" w:after="0" w:afterAutospacing="0"/>
        <w:ind w:left="714" w:hanging="357"/>
        <w:jc w:val="both"/>
        <w:rPr>
          <w:sz w:val="28"/>
          <w:szCs w:val="28"/>
          <w:lang w:val="en-GB"/>
        </w:rPr>
      </w:pPr>
      <w:r>
        <w:rPr>
          <w:sz w:val="28"/>
          <w:szCs w:val="28"/>
          <w:lang w:val="en-GB"/>
        </w:rPr>
        <w:t>Mokhonko G. A. Organisation of Entrepreneurial Activity: A Study Guide. Kyiv: Igor Sikorsky Kyiv Polytechnic Institute, 2022. 61 p.</w:t>
      </w:r>
    </w:p>
    <w:p w14:paraId="42CE4053">
      <w:pPr>
        <w:pStyle w:val="18"/>
        <w:widowControl w:val="0"/>
        <w:numPr>
          <w:ilvl w:val="0"/>
          <w:numId w:val="5"/>
        </w:numPr>
        <w:spacing w:before="0" w:beforeAutospacing="0" w:after="0" w:afterAutospacing="0"/>
        <w:ind w:left="714" w:hanging="357"/>
        <w:jc w:val="both"/>
        <w:rPr>
          <w:sz w:val="28"/>
          <w:szCs w:val="28"/>
          <w:lang w:val="en-GB"/>
        </w:rPr>
      </w:pPr>
      <w:r>
        <w:rPr>
          <w:sz w:val="28"/>
          <w:szCs w:val="28"/>
          <w:lang w:val="en-GB"/>
        </w:rPr>
        <w:t>Fundamentals of Entrepreneurship: Textbook / [Bilyak T.O., Biryuchenko S.Yu., Buzhymska K.O. et al.]; edited by N.V. Valinkevich. Zhytomyr: Zhytomyr State Technological University, 2019. 492 p.</w:t>
      </w:r>
    </w:p>
    <w:p w14:paraId="7D8686FE">
      <w:pPr>
        <w:pStyle w:val="18"/>
        <w:widowControl w:val="0"/>
        <w:numPr>
          <w:ilvl w:val="0"/>
          <w:numId w:val="5"/>
        </w:numPr>
        <w:spacing w:before="0" w:beforeAutospacing="0" w:after="0" w:afterAutospacing="0"/>
        <w:ind w:left="714" w:hanging="357"/>
        <w:jc w:val="both"/>
        <w:rPr>
          <w:sz w:val="28"/>
          <w:szCs w:val="28"/>
          <w:lang w:val="en-GB"/>
        </w:rPr>
      </w:pPr>
      <w:r>
        <w:rPr>
          <w:sz w:val="28"/>
          <w:szCs w:val="28"/>
          <w:lang w:val="en-GB"/>
        </w:rPr>
        <w:t>Fundamentals of Entrepreneurship: Textbook / [Bilyak T.O., Biryuchenko S.Yu., Buzhymska K.O., et al.]; edited by N.V. Valinkevich. Zhytomyr: Zhytomyr State Technological University, 2019. 492 p.</w:t>
      </w:r>
    </w:p>
    <w:p w14:paraId="2CF5AC1F">
      <w:pPr>
        <w:pStyle w:val="18"/>
        <w:widowControl w:val="0"/>
        <w:numPr>
          <w:ilvl w:val="0"/>
          <w:numId w:val="5"/>
        </w:numPr>
        <w:spacing w:before="0" w:beforeAutospacing="0" w:after="0" w:afterAutospacing="0"/>
        <w:ind w:left="714" w:hanging="357"/>
        <w:jc w:val="both"/>
        <w:rPr>
          <w:sz w:val="28"/>
          <w:szCs w:val="28"/>
          <w:lang w:val="en-GB"/>
        </w:rPr>
      </w:pPr>
      <w:r>
        <w:rPr>
          <w:sz w:val="28"/>
          <w:szCs w:val="28"/>
          <w:lang w:val="en-GB"/>
        </w:rPr>
        <w:t>Ostapchuk T. P., Dubinska O. S., Kucheruk G. Yu. Entrepreneurship and Business Fundamentals: Practical Guide. – Zhytomyr: Zhytomyr Polytechnic, 2023. – 280 p.</w:t>
      </w:r>
    </w:p>
    <w:p w14:paraId="67D8DFD3">
      <w:pPr>
        <w:pStyle w:val="18"/>
        <w:widowControl w:val="0"/>
        <w:numPr>
          <w:ilvl w:val="0"/>
          <w:numId w:val="5"/>
        </w:numPr>
        <w:spacing w:before="0" w:beforeAutospacing="0" w:after="0" w:afterAutospacing="0"/>
        <w:ind w:left="714" w:hanging="357"/>
        <w:jc w:val="both"/>
        <w:rPr>
          <w:sz w:val="28"/>
          <w:szCs w:val="28"/>
          <w:lang w:val="en-GB"/>
        </w:rPr>
      </w:pPr>
      <w:r>
        <w:rPr>
          <w:sz w:val="28"/>
          <w:szCs w:val="28"/>
          <w:lang w:val="en-GB"/>
        </w:rPr>
        <w:t>Pedko A. Fundamentals of Entrepreneurship and Business Culture. – Kyiv: Centre for Educational Literature. – 2019. – 168 p.</w:t>
      </w:r>
    </w:p>
    <w:p w14:paraId="060F9532">
      <w:pPr>
        <w:pStyle w:val="54"/>
        <w:widowControl w:val="0"/>
        <w:numPr>
          <w:ilvl w:val="0"/>
          <w:numId w:val="5"/>
        </w:numPr>
        <w:spacing w:after="0" w:line="240" w:lineRule="auto"/>
        <w:ind w:left="714" w:hanging="357"/>
        <w:contextualSpacing w:val="0"/>
        <w:jc w:val="both"/>
        <w:rPr>
          <w:rFonts w:ascii="Times New Roman" w:hAnsi="Times New Roman"/>
          <w:sz w:val="28"/>
          <w:szCs w:val="28"/>
          <w:lang w:val="en-GB"/>
        </w:rPr>
      </w:pPr>
      <w:r>
        <w:rPr>
          <w:rFonts w:ascii="Times New Roman" w:hAnsi="Times New Roman"/>
          <w:sz w:val="28"/>
          <w:szCs w:val="28"/>
          <w:lang w:val="en-GB"/>
        </w:rPr>
        <w:t>Chervinska L. P., Bazilyuk B. G. Human Resource Management in the Context of Corporate Social Responsibility. Monograph. 2018. KNEU. 220 p.</w:t>
      </w:r>
    </w:p>
    <w:p w14:paraId="1EDB5617">
      <w:pPr>
        <w:pStyle w:val="54"/>
        <w:widowControl w:val="0"/>
        <w:numPr>
          <w:ilvl w:val="0"/>
          <w:numId w:val="5"/>
        </w:numPr>
        <w:spacing w:after="0" w:line="240" w:lineRule="auto"/>
        <w:ind w:left="714" w:hanging="357"/>
        <w:contextualSpacing w:val="0"/>
        <w:jc w:val="both"/>
        <w:rPr>
          <w:rFonts w:ascii="Times New Roman" w:hAnsi="Times New Roman"/>
          <w:sz w:val="28"/>
          <w:szCs w:val="28"/>
          <w:lang w:val="en-GB"/>
        </w:rPr>
      </w:pPr>
      <w:r>
        <w:rPr>
          <w:rFonts w:ascii="Times New Roman" w:hAnsi="Times New Roman"/>
          <w:sz w:val="28"/>
          <w:szCs w:val="28"/>
          <w:lang w:val="en-GB"/>
        </w:rPr>
        <w:t>Chervinska L. P., Chervinska T. M. Key directions of modern management development. Publishing House "Helvetica". Issue 2 (65), 2022. P. 19-23.</w:t>
      </w:r>
    </w:p>
    <w:p w14:paraId="5F82694D">
      <w:pPr>
        <w:pStyle w:val="54"/>
        <w:widowControl w:val="0"/>
        <w:numPr>
          <w:ilvl w:val="0"/>
          <w:numId w:val="5"/>
        </w:numPr>
        <w:spacing w:after="0" w:line="240" w:lineRule="auto"/>
        <w:ind w:left="714" w:hanging="357"/>
        <w:contextualSpacing w:val="0"/>
        <w:jc w:val="both"/>
        <w:rPr>
          <w:rFonts w:ascii="Times New Roman" w:hAnsi="Times New Roman"/>
          <w:sz w:val="28"/>
          <w:szCs w:val="28"/>
          <w:lang w:val="en-GB"/>
        </w:rPr>
      </w:pPr>
      <w:r>
        <w:rPr>
          <w:rFonts w:ascii="Times New Roman" w:hAnsi="Times New Roman"/>
          <w:sz w:val="28"/>
          <w:szCs w:val="28"/>
          <w:shd w:val="clear" w:color="auto" w:fill="FFFFFF"/>
          <w:lang w:val="en-GB"/>
        </w:rPr>
        <w:t xml:space="preserve">Chervinska L.P. </w:t>
      </w:r>
      <w:r>
        <w:rPr>
          <w:rFonts w:ascii="Times New Roman" w:hAnsi="Times New Roman"/>
          <w:sz w:val="28"/>
          <w:szCs w:val="28"/>
          <w:lang w:val="en-GB"/>
        </w:rPr>
        <w:t>Transformation of management systems in the context of digitalisation, international scientific and practical conference on innovative methods of economic management in the context of business digitalisation. 10 October 2024. pp. 123-124.</w:t>
      </w:r>
    </w:p>
    <w:p w14:paraId="290E8A9D">
      <w:pPr>
        <w:pStyle w:val="18"/>
        <w:widowControl w:val="0"/>
        <w:numPr>
          <w:ilvl w:val="0"/>
          <w:numId w:val="5"/>
        </w:numPr>
        <w:spacing w:before="0" w:beforeAutospacing="0" w:after="0" w:afterAutospacing="0"/>
        <w:ind w:left="714" w:hanging="357"/>
        <w:jc w:val="both"/>
        <w:rPr>
          <w:sz w:val="28"/>
          <w:szCs w:val="28"/>
          <w:lang w:val="en-GB"/>
        </w:rPr>
      </w:pPr>
      <w:r>
        <w:rPr>
          <w:sz w:val="28"/>
          <w:szCs w:val="28"/>
          <w:lang w:val="en-GB"/>
        </w:rPr>
        <w:t>Chervinska L.P. Personnel motivation management. Monograph. KNEU 2015. 222 p.</w:t>
      </w:r>
    </w:p>
    <w:p w14:paraId="2DE86222">
      <w:pPr>
        <w:pStyle w:val="54"/>
        <w:widowControl w:val="0"/>
        <w:numPr>
          <w:ilvl w:val="0"/>
          <w:numId w:val="5"/>
        </w:numPr>
        <w:spacing w:after="0" w:line="240" w:lineRule="auto"/>
        <w:ind w:left="714" w:hanging="357"/>
        <w:contextualSpacing w:val="0"/>
        <w:jc w:val="both"/>
        <w:rPr>
          <w:rFonts w:ascii="Times New Roman" w:hAnsi="Times New Roman"/>
          <w:bCs/>
          <w:i/>
          <w:iCs/>
          <w:sz w:val="28"/>
          <w:szCs w:val="28"/>
          <w:lang w:val="en-GB"/>
        </w:rPr>
      </w:pPr>
      <w:r>
        <w:rPr>
          <w:rFonts w:ascii="Times New Roman" w:hAnsi="Times New Roman"/>
          <w:sz w:val="28"/>
          <w:szCs w:val="28"/>
          <w:lang w:val="en-GB"/>
        </w:rPr>
        <w:t>Chervinska L.P., Chervinska T.M. Mechanism of public administration in the field of developing social responsibility of business. Scientific works of MAUP. Political sciences and public administration. Publishing house Gelvetika.  Issue 1(60), 2021. P. 61-67.</w:t>
      </w:r>
    </w:p>
    <w:p w14:paraId="47097590">
      <w:pPr>
        <w:pStyle w:val="54"/>
        <w:widowControl w:val="0"/>
        <w:numPr>
          <w:ilvl w:val="0"/>
          <w:numId w:val="5"/>
        </w:numPr>
        <w:spacing w:after="0" w:line="240" w:lineRule="auto"/>
        <w:ind w:left="714" w:hanging="357"/>
        <w:contextualSpacing w:val="0"/>
        <w:jc w:val="both"/>
        <w:rPr>
          <w:rFonts w:ascii="Times New Roman" w:hAnsi="Times New Roman"/>
          <w:bCs/>
          <w:i/>
          <w:iCs/>
          <w:sz w:val="28"/>
          <w:szCs w:val="28"/>
          <w:lang w:val="en-GB"/>
        </w:rPr>
      </w:pPr>
      <w:r>
        <w:rPr>
          <w:rFonts w:ascii="Times New Roman" w:hAnsi="Times New Roman"/>
          <w:sz w:val="28"/>
          <w:szCs w:val="28"/>
          <w:lang w:val="en-GB"/>
        </w:rPr>
        <w:t>Anderson D. Customer Experience Quotes That Will Make You A Better Marketer. 10 September 2015.</w:t>
      </w:r>
    </w:p>
    <w:p w14:paraId="50EFEC87">
      <w:pPr>
        <w:pStyle w:val="54"/>
        <w:widowControl w:val="0"/>
        <w:numPr>
          <w:ilvl w:val="0"/>
          <w:numId w:val="5"/>
        </w:numPr>
        <w:spacing w:after="0" w:line="240" w:lineRule="auto"/>
        <w:ind w:left="714" w:hanging="357"/>
        <w:contextualSpacing w:val="0"/>
        <w:jc w:val="both"/>
        <w:rPr>
          <w:rFonts w:ascii="Times New Roman" w:hAnsi="Times New Roman"/>
          <w:bCs/>
          <w:i/>
          <w:iCs/>
          <w:sz w:val="28"/>
          <w:szCs w:val="28"/>
          <w:lang w:val="en-GB"/>
        </w:rPr>
      </w:pPr>
      <w:r>
        <w:rPr>
          <w:rFonts w:ascii="Times New Roman" w:hAnsi="Times New Roman"/>
          <w:sz w:val="28"/>
          <w:szCs w:val="28"/>
          <w:lang w:val="en-GB"/>
        </w:rPr>
        <w:t>Dees J. The Meaning of "Social Entrepreneurship" [Electronic resource] / J. Duke. – Mode of access:</w:t>
      </w:r>
      <w:r>
        <w:fldChar w:fldCharType="begin"/>
      </w:r>
      <w:r>
        <w:instrText xml:space="preserve"> HYPERLINK "https://centers.fuqua.duke.edu/case/wp-content/uploads/sites/7/2015/03/Article_Dees_MeaningofSocialEntrepreneurship_2001.pdf" </w:instrText>
      </w:r>
      <w:r>
        <w:fldChar w:fldCharType="separate"/>
      </w:r>
      <w:r>
        <w:rPr>
          <w:rStyle w:val="10"/>
          <w:rFonts w:ascii="Times New Roman" w:hAnsi="Times New Roman"/>
          <w:color w:val="auto"/>
          <w:sz w:val="28"/>
          <w:szCs w:val="28"/>
          <w:lang w:val="en-GB"/>
        </w:rPr>
        <w:t xml:space="preserve"> https://centers.fuqua.duke.edu/case/wpcontent/uploads/sites/7/2015/03/Article_Dees_MeaningofSocialEntrepreneurship_2001.pdf</w:t>
      </w:r>
      <w:r>
        <w:rPr>
          <w:rStyle w:val="10"/>
          <w:rFonts w:ascii="Times New Roman" w:hAnsi="Times New Roman"/>
          <w:color w:val="auto"/>
          <w:sz w:val="28"/>
          <w:szCs w:val="28"/>
          <w:lang w:val="en-GB"/>
        </w:rPr>
        <w:fldChar w:fldCharType="end"/>
      </w:r>
    </w:p>
    <w:p w14:paraId="1F51E15E">
      <w:pPr>
        <w:pStyle w:val="54"/>
        <w:widowControl w:val="0"/>
        <w:numPr>
          <w:ilvl w:val="0"/>
          <w:numId w:val="5"/>
        </w:numPr>
        <w:spacing w:after="0" w:line="240" w:lineRule="auto"/>
        <w:ind w:left="714" w:hanging="357"/>
        <w:contextualSpacing w:val="0"/>
        <w:jc w:val="both"/>
        <w:rPr>
          <w:rFonts w:ascii="Times New Roman" w:hAnsi="Times New Roman"/>
          <w:bCs/>
          <w:i/>
          <w:iCs/>
          <w:sz w:val="28"/>
          <w:szCs w:val="28"/>
          <w:lang w:val="en-GB"/>
        </w:rPr>
      </w:pPr>
      <w:r>
        <w:rPr>
          <w:rFonts w:ascii="Times New Roman" w:hAnsi="Times New Roman"/>
          <w:sz w:val="28"/>
          <w:szCs w:val="28"/>
          <w:lang w:val="en-GB"/>
        </w:rPr>
        <w:t>Hopkins T. Selling in Tough Times. Secrets to Selling When No One Is Buying / T. Hopkins. – Grand Central Publishing, 2010. – 272 p.</w:t>
      </w:r>
    </w:p>
    <w:p w14:paraId="233FA353">
      <w:pPr>
        <w:pStyle w:val="54"/>
        <w:widowControl w:val="0"/>
        <w:numPr>
          <w:ilvl w:val="0"/>
          <w:numId w:val="5"/>
        </w:numPr>
        <w:spacing w:after="0" w:line="240" w:lineRule="auto"/>
        <w:ind w:left="714" w:hanging="357"/>
        <w:contextualSpacing w:val="0"/>
        <w:jc w:val="both"/>
        <w:rPr>
          <w:rFonts w:ascii="Times New Roman" w:hAnsi="Times New Roman"/>
          <w:bCs/>
          <w:i/>
          <w:iCs/>
          <w:sz w:val="28"/>
          <w:szCs w:val="28"/>
          <w:lang w:val="en-GB"/>
        </w:rPr>
      </w:pPr>
      <w:r>
        <w:rPr>
          <w:rFonts w:ascii="Times New Roman" w:hAnsi="Times New Roman"/>
          <w:sz w:val="28"/>
          <w:szCs w:val="28"/>
          <w:lang w:val="en-GB"/>
        </w:rPr>
        <w:t>The rise of the social enterprise : 2018 Deloitte Global Human Capital Trends [Electronic resource]. – Mode of access: https://www2.deloitte.com/content/dam/insights/ us/articles/HCTreds2018/2018-HCtrends_Rise-of-the-social-enterprise.pdf</w:t>
      </w:r>
    </w:p>
    <w:p w14:paraId="5B696844">
      <w:pPr>
        <w:pStyle w:val="54"/>
        <w:widowControl w:val="0"/>
        <w:numPr>
          <w:ilvl w:val="0"/>
          <w:numId w:val="5"/>
        </w:numPr>
        <w:spacing w:after="0" w:line="240" w:lineRule="auto"/>
        <w:ind w:left="714" w:hanging="357"/>
        <w:contextualSpacing w:val="0"/>
        <w:jc w:val="both"/>
        <w:rPr>
          <w:rFonts w:ascii="Times New Roman" w:hAnsi="Times New Roman"/>
          <w:bCs/>
          <w:i/>
          <w:iCs/>
          <w:sz w:val="28"/>
          <w:szCs w:val="28"/>
          <w:lang w:val="en-GB"/>
        </w:rPr>
      </w:pPr>
      <w:r>
        <w:rPr>
          <w:rFonts w:ascii="Times New Roman" w:hAnsi="Times New Roman"/>
          <w:sz w:val="28"/>
          <w:szCs w:val="28"/>
          <w:lang w:val="en-GB"/>
        </w:rPr>
        <w:t>Thornley, V. The Facts on U.S. Social Enterprise [Electronic resource] / V. Thornley. – Mode of access: http://www.huffingtonpost.com/ben-thornley/socialenterprise_b_2090144.html</w:t>
      </w:r>
    </w:p>
    <w:p w14:paraId="75D1CC9F">
      <w:pPr>
        <w:widowControl w:val="0"/>
        <w:ind w:right="-1"/>
        <w:jc w:val="both"/>
        <w:rPr>
          <w:sz w:val="28"/>
          <w:szCs w:val="28"/>
          <w:lang w:val="en-GB"/>
        </w:rPr>
      </w:pPr>
    </w:p>
    <w:p w14:paraId="0CA3DA63">
      <w:pPr>
        <w:widowControl w:val="0"/>
        <w:ind w:right="-1"/>
        <w:jc w:val="both"/>
        <w:rPr>
          <w:b/>
          <w:bCs/>
          <w:sz w:val="28"/>
          <w:szCs w:val="28"/>
          <w:lang w:val="en-GB"/>
        </w:rPr>
      </w:pPr>
      <w:r>
        <w:rPr>
          <w:b/>
          <w:bCs/>
          <w:sz w:val="28"/>
          <w:szCs w:val="28"/>
          <w:lang w:val="en-GB"/>
        </w:rPr>
        <w:t>Information resources:</w:t>
      </w:r>
    </w:p>
    <w:p w14:paraId="04FDCDBA">
      <w:pPr>
        <w:pStyle w:val="18"/>
        <w:widowControl w:val="0"/>
        <w:numPr>
          <w:ilvl w:val="0"/>
          <w:numId w:val="6"/>
        </w:numPr>
        <w:spacing w:before="0" w:beforeAutospacing="0" w:after="0" w:afterAutospacing="0"/>
        <w:ind w:left="714" w:hanging="357"/>
        <w:jc w:val="both"/>
        <w:rPr>
          <w:sz w:val="28"/>
          <w:szCs w:val="28"/>
          <w:lang w:val="en-GB"/>
        </w:rPr>
      </w:pPr>
      <w:r>
        <w:rPr>
          <w:sz w:val="28"/>
          <w:szCs w:val="28"/>
          <w:lang w:val="en-GB"/>
        </w:rPr>
        <w:t>National Repository of Academic Texts – a resource for searching for contemporary Ukrainian educational and scientific materials URL:</w:t>
      </w:r>
      <w:r>
        <w:fldChar w:fldCharType="begin"/>
      </w:r>
      <w:r>
        <w:instrText xml:space="preserve"> HYPERLINK "https://nrat.ukrintei.ua/" </w:instrText>
      </w:r>
      <w:r>
        <w:fldChar w:fldCharType="separate"/>
      </w:r>
      <w:r>
        <w:rPr>
          <w:sz w:val="28"/>
          <w:szCs w:val="28"/>
          <w:lang w:val="en-GB"/>
        </w:rPr>
        <w:t xml:space="preserve"> https://nrat.ukrintei.ua</w:t>
      </w:r>
      <w:r>
        <w:rPr>
          <w:sz w:val="28"/>
          <w:szCs w:val="28"/>
          <w:lang w:val="en-GB"/>
        </w:rPr>
        <w:fldChar w:fldCharType="end"/>
      </w:r>
    </w:p>
    <w:p w14:paraId="17CA102B">
      <w:pPr>
        <w:pStyle w:val="18"/>
        <w:widowControl w:val="0"/>
        <w:numPr>
          <w:ilvl w:val="0"/>
          <w:numId w:val="6"/>
        </w:numPr>
        <w:spacing w:before="0" w:beforeAutospacing="0" w:after="0" w:afterAutospacing="0"/>
        <w:ind w:left="714" w:hanging="357"/>
        <w:jc w:val="both"/>
        <w:rPr>
          <w:sz w:val="28"/>
          <w:szCs w:val="28"/>
          <w:lang w:val="en-GB"/>
        </w:rPr>
      </w:pPr>
      <w:r>
        <w:rPr>
          <w:sz w:val="28"/>
          <w:szCs w:val="28"/>
          <w:lang w:val="en-GB"/>
        </w:rPr>
        <w:t>NBUV (V. I. Vernadsky National Library of Ukraine) – scientific resources and archive of periodicals URL:</w:t>
      </w:r>
      <w:r>
        <w:fldChar w:fldCharType="begin"/>
      </w:r>
      <w:r>
        <w:instrText xml:space="preserve"> HYPERLINK "http://www.nbuv.gov.ua/" </w:instrText>
      </w:r>
      <w:r>
        <w:fldChar w:fldCharType="separate"/>
      </w:r>
      <w:r>
        <w:rPr>
          <w:sz w:val="28"/>
          <w:szCs w:val="28"/>
          <w:lang w:val="en-GB"/>
        </w:rPr>
        <w:t xml:space="preserve"> http://www.nbuv.gov.ua</w:t>
      </w:r>
      <w:r>
        <w:rPr>
          <w:sz w:val="28"/>
          <w:szCs w:val="28"/>
          <w:lang w:val="en-GB"/>
        </w:rPr>
        <w:fldChar w:fldCharType="end"/>
      </w:r>
    </w:p>
    <w:p w14:paraId="3DDB12EB">
      <w:pPr>
        <w:pStyle w:val="18"/>
        <w:widowControl w:val="0"/>
        <w:numPr>
          <w:ilvl w:val="0"/>
          <w:numId w:val="6"/>
        </w:numPr>
        <w:spacing w:before="0" w:beforeAutospacing="0" w:after="0" w:afterAutospacing="0"/>
        <w:ind w:left="714" w:hanging="357"/>
        <w:jc w:val="both"/>
        <w:rPr>
          <w:sz w:val="28"/>
          <w:szCs w:val="28"/>
          <w:lang w:val="en-GB"/>
        </w:rPr>
      </w:pPr>
      <w:r>
        <w:rPr>
          <w:rStyle w:val="12"/>
          <w:b w:val="0"/>
          <w:bCs w:val="0"/>
          <w:sz w:val="28"/>
          <w:szCs w:val="28"/>
          <w:lang w:val="en-GB"/>
        </w:rPr>
        <w:t xml:space="preserve">OECD iLibrary </w:t>
      </w:r>
      <w:r>
        <w:rPr>
          <w:sz w:val="28"/>
          <w:szCs w:val="28"/>
          <w:lang w:val="en-GB"/>
        </w:rPr>
        <w:t>–</w:t>
      </w:r>
      <w:r>
        <w:fldChar w:fldCharType="begin"/>
      </w:r>
      <w:r>
        <w:instrText xml:space="preserve"> HYPERLINK "https://www.oecd-ilibrary.org" </w:instrText>
      </w:r>
      <w:r>
        <w:fldChar w:fldCharType="separate"/>
      </w:r>
      <w:r>
        <w:rPr>
          <w:rStyle w:val="10"/>
          <w:color w:val="auto"/>
          <w:sz w:val="28"/>
          <w:szCs w:val="28"/>
          <w:lang w:val="en-GB"/>
        </w:rPr>
        <w:t xml:space="preserve"> https://www.oecd-ilibrary.org</w:t>
      </w:r>
      <w:r>
        <w:rPr>
          <w:rStyle w:val="10"/>
          <w:color w:val="auto"/>
          <w:sz w:val="28"/>
          <w:szCs w:val="28"/>
          <w:lang w:val="en-GB"/>
        </w:rPr>
        <w:fldChar w:fldCharType="end"/>
      </w:r>
      <w:r>
        <w:rPr>
          <w:sz w:val="28"/>
          <w:szCs w:val="28"/>
          <w:lang w:val="en-GB"/>
        </w:rPr>
        <w:t xml:space="preserve"> – Statistics and analytics on economic development, markets, macroeconomics</w:t>
      </w:r>
    </w:p>
    <w:p w14:paraId="18719E49">
      <w:pPr>
        <w:pStyle w:val="54"/>
        <w:widowControl w:val="0"/>
        <w:numPr>
          <w:ilvl w:val="0"/>
          <w:numId w:val="6"/>
        </w:numPr>
        <w:spacing w:after="0" w:line="240" w:lineRule="auto"/>
        <w:ind w:left="714" w:hanging="357"/>
        <w:contextualSpacing w:val="0"/>
        <w:jc w:val="both"/>
        <w:rPr>
          <w:rFonts w:ascii="Times New Roman" w:hAnsi="Times New Roman"/>
          <w:sz w:val="28"/>
          <w:szCs w:val="28"/>
          <w:lang w:val="en-GB"/>
        </w:rPr>
      </w:pPr>
      <w:r>
        <w:rPr>
          <w:rFonts w:ascii="Times New Roman" w:hAnsi="Times New Roman"/>
          <w:sz w:val="28"/>
          <w:szCs w:val="28"/>
          <w:lang w:val="en-GB"/>
        </w:rPr>
        <w:t>Official website of the State Statistics Service of Ukraine —</w:t>
      </w:r>
      <w:r>
        <w:fldChar w:fldCharType="begin"/>
      </w:r>
      <w:r>
        <w:instrText xml:space="preserve"> HYPERLINK "https://www.ukrstat.gov.ua" </w:instrText>
      </w:r>
      <w:r>
        <w:fldChar w:fldCharType="separate"/>
      </w:r>
      <w:r>
        <w:rPr>
          <w:rStyle w:val="10"/>
          <w:rFonts w:ascii="Times New Roman" w:hAnsi="Times New Roman"/>
          <w:color w:val="auto"/>
          <w:sz w:val="28"/>
          <w:szCs w:val="28"/>
          <w:lang w:val="en-GB"/>
        </w:rPr>
        <w:t xml:space="preserve"> https://www.ukrstat.gov.ua</w:t>
      </w:r>
      <w:r>
        <w:rPr>
          <w:rStyle w:val="10"/>
          <w:rFonts w:ascii="Times New Roman" w:hAnsi="Times New Roman"/>
          <w:color w:val="auto"/>
          <w:sz w:val="28"/>
          <w:szCs w:val="28"/>
          <w:lang w:val="en-GB"/>
        </w:rPr>
        <w:fldChar w:fldCharType="end"/>
      </w:r>
      <w:r>
        <w:rPr>
          <w:rFonts w:ascii="Times New Roman" w:hAnsi="Times New Roman"/>
          <w:sz w:val="28"/>
          <w:szCs w:val="28"/>
          <w:lang w:val="en-GB"/>
        </w:rPr>
        <w:t xml:space="preserve"> Current macroeconomic indicators, reports, statistical bulletins.</w:t>
      </w:r>
    </w:p>
    <w:p w14:paraId="59D212FC">
      <w:pPr>
        <w:pStyle w:val="54"/>
        <w:widowControl w:val="0"/>
        <w:numPr>
          <w:ilvl w:val="0"/>
          <w:numId w:val="6"/>
        </w:numPr>
        <w:spacing w:after="0" w:line="240" w:lineRule="auto"/>
        <w:ind w:left="714" w:hanging="357"/>
        <w:contextualSpacing w:val="0"/>
        <w:jc w:val="both"/>
        <w:rPr>
          <w:rFonts w:ascii="Times New Roman" w:hAnsi="Times New Roman"/>
          <w:sz w:val="28"/>
          <w:szCs w:val="28"/>
          <w:lang w:val="en-GB"/>
        </w:rPr>
      </w:pPr>
      <w:r>
        <w:rPr>
          <w:rFonts w:ascii="Times New Roman" w:hAnsi="Times New Roman"/>
          <w:sz w:val="28"/>
          <w:szCs w:val="28"/>
          <w:lang w:val="en-GB"/>
        </w:rPr>
        <w:t>Ministry of Economy of Ukraine —</w:t>
      </w:r>
      <w:r>
        <w:fldChar w:fldCharType="begin"/>
      </w:r>
      <w:r>
        <w:instrText xml:space="preserve"> HYPERLINK "https://www.me.gov.ua" </w:instrText>
      </w:r>
      <w:r>
        <w:fldChar w:fldCharType="separate"/>
      </w:r>
      <w:r>
        <w:rPr>
          <w:rStyle w:val="10"/>
          <w:rFonts w:ascii="Times New Roman" w:hAnsi="Times New Roman"/>
          <w:color w:val="auto"/>
          <w:sz w:val="28"/>
          <w:szCs w:val="28"/>
          <w:lang w:val="en-GB"/>
        </w:rPr>
        <w:t xml:space="preserve"> https://www.me.gov.ua</w:t>
      </w:r>
      <w:r>
        <w:rPr>
          <w:rStyle w:val="10"/>
          <w:rFonts w:ascii="Times New Roman" w:hAnsi="Times New Roman"/>
          <w:color w:val="auto"/>
          <w:sz w:val="28"/>
          <w:szCs w:val="28"/>
          <w:lang w:val="en-GB"/>
        </w:rPr>
        <w:fldChar w:fldCharType="end"/>
      </w:r>
      <w:r>
        <w:rPr>
          <w:rFonts w:ascii="Times New Roman" w:hAnsi="Times New Roman"/>
          <w:sz w:val="28"/>
          <w:szCs w:val="28"/>
          <w:lang w:val="en-GB"/>
        </w:rPr>
        <w:t xml:space="preserve"> Economic policy documents, strategies, state programmes.</w:t>
      </w:r>
    </w:p>
    <w:p w14:paraId="6B2F3DCA">
      <w:pPr>
        <w:pStyle w:val="54"/>
        <w:widowControl w:val="0"/>
        <w:numPr>
          <w:ilvl w:val="0"/>
          <w:numId w:val="6"/>
        </w:numPr>
        <w:spacing w:after="0" w:line="240" w:lineRule="auto"/>
        <w:ind w:left="714" w:hanging="357"/>
        <w:contextualSpacing w:val="0"/>
        <w:jc w:val="both"/>
        <w:rPr>
          <w:rFonts w:ascii="Times New Roman" w:hAnsi="Times New Roman"/>
          <w:sz w:val="28"/>
          <w:szCs w:val="28"/>
          <w:lang w:val="en-GB"/>
        </w:rPr>
      </w:pPr>
      <w:r>
        <w:rPr>
          <w:rFonts w:ascii="Times New Roman" w:hAnsi="Times New Roman"/>
          <w:sz w:val="28"/>
          <w:szCs w:val="28"/>
          <w:lang w:val="en-GB"/>
        </w:rPr>
        <w:t>National Bank of Ukraine —</w:t>
      </w:r>
      <w:r>
        <w:fldChar w:fldCharType="begin"/>
      </w:r>
      <w:r>
        <w:instrText xml:space="preserve"> HYPERLINK "https://bank.gov.ua" </w:instrText>
      </w:r>
      <w:r>
        <w:fldChar w:fldCharType="separate"/>
      </w:r>
      <w:r>
        <w:rPr>
          <w:rStyle w:val="10"/>
          <w:rFonts w:ascii="Times New Roman" w:hAnsi="Times New Roman"/>
          <w:color w:val="auto"/>
          <w:sz w:val="28"/>
          <w:szCs w:val="28"/>
          <w:lang w:val="en-GB"/>
        </w:rPr>
        <w:t xml:space="preserve"> https://bank.gov.ua</w:t>
      </w:r>
      <w:r>
        <w:rPr>
          <w:rStyle w:val="10"/>
          <w:rFonts w:ascii="Times New Roman" w:hAnsi="Times New Roman"/>
          <w:color w:val="auto"/>
          <w:sz w:val="28"/>
          <w:szCs w:val="28"/>
          <w:lang w:val="en-GB"/>
        </w:rPr>
        <w:fldChar w:fldCharType="end"/>
      </w:r>
      <w:r>
        <w:rPr>
          <w:rFonts w:ascii="Times New Roman" w:hAnsi="Times New Roman"/>
          <w:sz w:val="28"/>
          <w:szCs w:val="28"/>
          <w:lang w:val="en-GB"/>
        </w:rPr>
        <w:t xml:space="preserve"> Analytics on monetary policy, inflation, exchange rates.</w:t>
      </w:r>
    </w:p>
    <w:sectPr>
      <w:headerReference r:id="rId4" w:type="first"/>
      <w:headerReference r:id="rId3" w:type="default"/>
      <w:pgSz w:w="11906" w:h="16838"/>
      <w:pgMar w:top="1134" w:right="1134" w:bottom="1134" w:left="1134" w:header="709" w:footer="720"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embedRegular r:id="rId1" w:fontKey="{54F9C031-7A8D-41BC-8FFB-DAF6CC00028D}"/>
  </w:font>
  <w:font w:name="Arial">
    <w:panose1 w:val="020B0604020202020204"/>
    <w:charset w:val="00"/>
    <w:family w:val="swiss"/>
    <w:pitch w:val="default"/>
    <w:sig w:usb0="E0002EFF" w:usb1="C000785B" w:usb2="00000009" w:usb3="00000000" w:csb0="400001FF" w:csb1="FFFF0000"/>
    <w:embedRegular r:id="rId2" w:fontKey="{F29A76C7-C690-4E7C-A6B7-CE897B637E98}"/>
  </w:font>
  <w:font w:name="Courier New">
    <w:panose1 w:val="02070309020205020404"/>
    <w:charset w:val="00"/>
    <w:family w:val="modern"/>
    <w:pitch w:val="default"/>
    <w:sig w:usb0="E0002EFF" w:usb1="C0007843" w:usb2="00000009" w:usb3="00000000" w:csb0="400001FF" w:csb1="FFFF0000"/>
    <w:embedRegular r:id="rId3" w:fontKey="{8EC686A7-696F-4F06-B2F6-9472E5397681}"/>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embedRegular r:id="rId4" w:fontKey="{DC4E90A1-F3B9-4CF7-BCED-D283DD3D96F9}"/>
  </w:font>
  <w:font w:name="Calibri">
    <w:panose1 w:val="020F0502020204030204"/>
    <w:charset w:val="00"/>
    <w:family w:val="swiss"/>
    <w:pitch w:val="default"/>
    <w:sig w:usb0="E4002EFF" w:usb1="C000247B" w:usb2="00000009" w:usb3="00000000" w:csb0="200001FF" w:csb1="00000000"/>
    <w:embedRegular r:id="rId5" w:fontKey="{F4C79574-A56B-44B6-9516-69F412642F11}"/>
  </w:font>
  <w:font w:name="Calibri Light">
    <w:panose1 w:val="020F0302020204030204"/>
    <w:charset w:val="CC"/>
    <w:family w:val="swiss"/>
    <w:pitch w:val="default"/>
    <w:sig w:usb0="E4002EFF" w:usb1="C000247B" w:usb2="00000009" w:usb3="00000000" w:csb0="200001FF" w:csb1="00000000"/>
    <w:embedRegular r:id="rId6" w:fontKey="{D1BD2521-8687-4162-A163-7805B8FDBB05}"/>
  </w:font>
  <w:font w:name="Arial">
    <w:panose1 w:val="020B0604020202020204"/>
    <w:charset w:val="CC"/>
    <w:family w:val="swiss"/>
    <w:pitch w:val="default"/>
    <w:sig w:usb0="E0002EFF" w:usb1="C000785B" w:usb2="00000009" w:usb3="00000000" w:csb0="400001FF" w:csb1="FFFF0000"/>
    <w:embedRegular r:id="rId7" w:fontKey="{48EB9C6D-C908-4559-A42F-3E2672C512F1}"/>
  </w:font>
  <w:font w:name="Courier New">
    <w:panose1 w:val="02070309020205020404"/>
    <w:charset w:val="CC"/>
    <w:family w:val="modern"/>
    <w:pitch w:val="default"/>
    <w:sig w:usb0="E0002EFF" w:usb1="C0007843" w:usb2="00000009" w:usb3="00000000" w:csb0="400001FF" w:csb1="FFFF0000"/>
    <w:embedRegular r:id="rId8" w:fontKey="{156471C5-00EF-4023-81E6-A738E9051DA7}"/>
  </w:font>
  <w:font w:name="Arial Narrow">
    <w:panose1 w:val="020B0606020202030204"/>
    <w:charset w:val="CC"/>
    <w:family w:val="swiss"/>
    <w:pitch w:val="default"/>
    <w:sig w:usb0="00000287" w:usb1="00000800" w:usb2="00000000" w:usb3="00000000" w:csb0="2000009F" w:csb1="DFD70000"/>
    <w:embedRegular r:id="rId9" w:fontKey="{FFA3030F-1A7E-47CC-9B18-171A2FE03071}"/>
  </w:font>
  <w:font w:name="Liberation Sans">
    <w:altName w:val="Segoe Print"/>
    <w:panose1 w:val="00000000000000000000"/>
    <w:charset w:val="CC"/>
    <w:family w:val="swiss"/>
    <w:pitch w:val="default"/>
    <w:sig w:usb0="00000000" w:usb1="00000000" w:usb2="00000021" w:usb3="00000000" w:csb0="000001BF" w:csb1="00000000"/>
    <w:embedRegular r:id="rId10" w:fontKey="{00E8BC18-340D-433A-80C0-ED3268A4C19C}"/>
  </w:font>
  <w:font w:name="Microsoft YaHei">
    <w:panose1 w:val="020B0503020204020204"/>
    <w:charset w:val="86"/>
    <w:family w:val="swiss"/>
    <w:pitch w:val="default"/>
    <w:sig w:usb0="80000287" w:usb1="2ACF3C50" w:usb2="00000016" w:usb3="00000000" w:csb0="0004001F" w:csb1="00000000"/>
  </w:font>
  <w:font w:name="Calibri">
    <w:panose1 w:val="020F0502020204030204"/>
    <w:charset w:val="CC"/>
    <w:family w:val="swiss"/>
    <w:pitch w:val="default"/>
    <w:sig w:usb0="E4002EFF" w:usb1="C000247B" w:usb2="00000009" w:usb3="00000000" w:csb0="200001FF" w:csb1="00000000"/>
    <w:embedRegular r:id="rId11" w:fontKey="{DA06C194-BC99-405B-9A80-D10307BBA171}"/>
  </w:font>
  <w:font w:name="Symbol">
    <w:panose1 w:val="05050102010706020507"/>
    <w:charset w:val="02"/>
    <w:family w:val="roman"/>
    <w:pitch w:val="default"/>
    <w:sig w:usb0="00000000" w:usb1="00000000" w:usb2="00000000" w:usb3="00000000" w:csb0="80000000" w:csb1="00000000"/>
    <w:embedRegular r:id="rId12" w:fontKey="{56FB741A-17B8-4DDC-9684-871086C642A8}"/>
  </w:font>
  <w:font w:name="Segoe Print">
    <w:panose1 w:val="02000600000000000000"/>
    <w:charset w:val="00"/>
    <w:family w:val="auto"/>
    <w:pitch w:val="default"/>
    <w:sig w:usb0="0000028F" w:usb1="00000000" w:usb2="00000000" w:usb3="00000000" w:csb0="2000009F" w:csb1="47010000"/>
    <w:embedRegular r:id="rId13" w:fontKey="{21E90C6C-5D19-435D-B0C8-661DC0990FE9}"/>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C3412">
    <w:pPr>
      <w:pStyle w:val="14"/>
      <w:jc w:val="right"/>
      <w:rPr>
        <w:lang w:val="uk-UA"/>
      </w:rPr>
    </w:pPr>
    <w:r>
      <w:rPr>
        <w:lang w:val="uk-UA"/>
      </w:rPr>
      <w:fldChar w:fldCharType="begin"/>
    </w:r>
    <w:r>
      <w:rPr>
        <w:lang w:val="uk-UA"/>
      </w:rPr>
      <w:instrText xml:space="preserve"> PAGE </w:instrText>
    </w:r>
    <w:r>
      <w:rPr>
        <w:lang w:val="uk-UA"/>
      </w:rPr>
      <w:fldChar w:fldCharType="separate"/>
    </w:r>
    <w:r>
      <w:rPr>
        <w:lang w:val="uk-UA"/>
      </w:rPr>
      <w:t>13</w:t>
    </w:r>
    <w:r>
      <w:rPr>
        <w:lang w:val="uk-UA"/>
      </w:rPr>
      <w:fldChar w:fldCharType="end"/>
    </w:r>
  </w:p>
  <w:p w14:paraId="72A68954">
    <w:pPr>
      <w:pStyle w:val="14"/>
      <w:jc w:val="right"/>
      <w:rPr>
        <w:lang w:val="uk-U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123B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none"/>
      <w:suff w:val="nothing"/>
      <w:lvlText w:val=""/>
      <w:lvlJc w:val="left"/>
      <w:pPr>
        <w:tabs>
          <w:tab w:val="left" w:pos="0"/>
        </w:tabs>
        <w:ind w:left="0" w:firstLine="0"/>
      </w:pPr>
    </w:lvl>
    <w:lvl w:ilvl="1" w:tentative="0">
      <w:start w:val="1"/>
      <w:numFmt w:val="none"/>
      <w:suff w:val="nothing"/>
      <w:lvlText w:val=""/>
      <w:lvlJc w:val="left"/>
      <w:pPr>
        <w:tabs>
          <w:tab w:val="left" w:pos="0"/>
        </w:tabs>
        <w:ind w:left="0" w:firstLine="0"/>
      </w:pPr>
    </w:lvl>
    <w:lvl w:ilvl="2" w:tentative="0">
      <w:start w:val="1"/>
      <w:numFmt w:val="none"/>
      <w:suff w:val="nothing"/>
      <w:lvlText w:val=""/>
      <w:lvlJc w:val="left"/>
      <w:pPr>
        <w:tabs>
          <w:tab w:val="left" w:pos="0"/>
        </w:tabs>
        <w:ind w:left="0" w:firstLine="0"/>
      </w:pPr>
    </w:lvl>
    <w:lvl w:ilvl="3" w:tentative="0">
      <w:start w:val="1"/>
      <w:numFmt w:val="none"/>
      <w:suff w:val="nothing"/>
      <w:lvlText w:val=""/>
      <w:lvlJc w:val="left"/>
      <w:pPr>
        <w:tabs>
          <w:tab w:val="left" w:pos="0"/>
        </w:tabs>
        <w:ind w:left="0" w:firstLine="0"/>
      </w:pPr>
    </w:lvl>
    <w:lvl w:ilvl="4" w:tentative="0">
      <w:start w:val="1"/>
      <w:numFmt w:val="none"/>
      <w:suff w:val="nothing"/>
      <w:lvlText w:val=""/>
      <w:lvlJc w:val="left"/>
      <w:pPr>
        <w:tabs>
          <w:tab w:val="left" w:pos="0"/>
        </w:tabs>
        <w:ind w:left="0" w:firstLine="0"/>
      </w:pPr>
    </w:lvl>
    <w:lvl w:ilvl="5" w:tentative="0">
      <w:start w:val="1"/>
      <w:numFmt w:val="none"/>
      <w:suff w:val="nothing"/>
      <w:lvlText w:val=""/>
      <w:lvlJc w:val="left"/>
      <w:pPr>
        <w:tabs>
          <w:tab w:val="left" w:pos="0"/>
        </w:tabs>
        <w:ind w:left="0" w:firstLine="0"/>
      </w:pPr>
    </w:lvl>
    <w:lvl w:ilvl="6" w:tentative="0">
      <w:start w:val="1"/>
      <w:numFmt w:val="none"/>
      <w:suff w:val="nothing"/>
      <w:lvlText w:val=""/>
      <w:lvlJc w:val="left"/>
      <w:pPr>
        <w:tabs>
          <w:tab w:val="left" w:pos="0"/>
        </w:tabs>
        <w:ind w:left="0" w:firstLine="0"/>
      </w:pPr>
    </w:lvl>
    <w:lvl w:ilvl="7" w:tentative="0">
      <w:start w:val="1"/>
      <w:numFmt w:val="none"/>
      <w:suff w:val="nothing"/>
      <w:lvlText w:val=""/>
      <w:lvlJc w:val="left"/>
      <w:pPr>
        <w:tabs>
          <w:tab w:val="left" w:pos="0"/>
        </w:tabs>
        <w:ind w:left="0" w:firstLine="0"/>
      </w:pPr>
    </w:lvl>
    <w:lvl w:ilvl="8" w:tentative="0">
      <w:start w:val="1"/>
      <w:numFmt w:val="none"/>
      <w:suff w:val="nothing"/>
      <w:lvlText w:val=""/>
      <w:lvlJc w:val="left"/>
      <w:pPr>
        <w:tabs>
          <w:tab w:val="left" w:pos="0"/>
        </w:tabs>
        <w:ind w:left="0" w:firstLine="0"/>
      </w:pPr>
    </w:lvl>
  </w:abstractNum>
  <w:abstractNum w:abstractNumId="1">
    <w:nsid w:val="1A9A3A14"/>
    <w:multiLevelType w:val="multilevel"/>
    <w:tmpl w:val="1A9A3A1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1AD2174E"/>
    <w:multiLevelType w:val="multilevel"/>
    <w:tmpl w:val="1AD2174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2DB666A0"/>
    <w:multiLevelType w:val="multilevel"/>
    <w:tmpl w:val="2DB666A0"/>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36011464"/>
    <w:multiLevelType w:val="multilevel"/>
    <w:tmpl w:val="3601146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3F851AB0"/>
    <w:multiLevelType w:val="multilevel"/>
    <w:tmpl w:val="3F851AB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 w:numId="2">
    <w:abstractNumId w:val="2"/>
  </w:num>
  <w:num w:numId="3">
    <w:abstractNumId w:val="5"/>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TrueType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nforcement="0"/>
  <w:defaultTabStop w:val="708"/>
  <w:hyphenationZone w:val="425"/>
  <w:drawingGridHorizontalSpacing w:val="0"/>
  <w:drawingGridVerticalSpacing w:val="0"/>
  <w:doNotUseMarginsForDrawingGridOrigin w:val="1"/>
  <w:drawingGridHorizontalOrigin w:val="0"/>
  <w:drawingGridVerticalOrigin w:val="0"/>
  <w:noPunctuationKerning w:val="1"/>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9EC"/>
    <w:rsid w:val="0000589A"/>
    <w:rsid w:val="000859D4"/>
    <w:rsid w:val="00086419"/>
    <w:rsid w:val="001368B3"/>
    <w:rsid w:val="002026B3"/>
    <w:rsid w:val="002E2772"/>
    <w:rsid w:val="0037387A"/>
    <w:rsid w:val="003B556C"/>
    <w:rsid w:val="003D51A7"/>
    <w:rsid w:val="004569EC"/>
    <w:rsid w:val="00472E35"/>
    <w:rsid w:val="00473D47"/>
    <w:rsid w:val="004A305E"/>
    <w:rsid w:val="004A6225"/>
    <w:rsid w:val="004E23B3"/>
    <w:rsid w:val="004F2889"/>
    <w:rsid w:val="00523116"/>
    <w:rsid w:val="00543547"/>
    <w:rsid w:val="005815FF"/>
    <w:rsid w:val="005C15EB"/>
    <w:rsid w:val="00607BBF"/>
    <w:rsid w:val="006100FD"/>
    <w:rsid w:val="00682F8D"/>
    <w:rsid w:val="006865EF"/>
    <w:rsid w:val="00692632"/>
    <w:rsid w:val="006D3F59"/>
    <w:rsid w:val="006D5265"/>
    <w:rsid w:val="007861EB"/>
    <w:rsid w:val="007A05BA"/>
    <w:rsid w:val="008358A9"/>
    <w:rsid w:val="00876F48"/>
    <w:rsid w:val="008C3E37"/>
    <w:rsid w:val="008F59D0"/>
    <w:rsid w:val="00913ED1"/>
    <w:rsid w:val="00916245"/>
    <w:rsid w:val="009D54A2"/>
    <w:rsid w:val="00B04AED"/>
    <w:rsid w:val="00B12F83"/>
    <w:rsid w:val="00B5788F"/>
    <w:rsid w:val="00B70671"/>
    <w:rsid w:val="00B74377"/>
    <w:rsid w:val="00B96F9C"/>
    <w:rsid w:val="00B97562"/>
    <w:rsid w:val="00C5122A"/>
    <w:rsid w:val="00C60BE1"/>
    <w:rsid w:val="00CB44F0"/>
    <w:rsid w:val="00D4047A"/>
    <w:rsid w:val="00DC0C6B"/>
    <w:rsid w:val="00DD6AC7"/>
    <w:rsid w:val="00E4011A"/>
    <w:rsid w:val="00E837F4"/>
    <w:rsid w:val="00F061ED"/>
    <w:rsid w:val="00F312EA"/>
    <w:rsid w:val="00FA00A9"/>
    <w:rsid w:val="00FB6A45"/>
    <w:rsid w:val="1658582F"/>
    <w:rsid w:val="3FCE77C5"/>
    <w:rsid w:val="43A644BF"/>
    <w:rsid w:val="4A1E71A6"/>
    <w:rsid w:val="62A6414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9"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uiPriority="99"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uppressAutoHyphens/>
    </w:pPr>
    <w:rPr>
      <w:rFonts w:ascii="Times New Roman" w:hAnsi="Times New Roman" w:eastAsia="SimSun" w:cs="Times New Roman"/>
      <w:lang w:val="ru-RU" w:eastAsia="ru-RU" w:bidi="ar-SA"/>
    </w:rPr>
  </w:style>
  <w:style w:type="paragraph" w:styleId="2">
    <w:name w:val="heading 1"/>
    <w:basedOn w:val="1"/>
    <w:next w:val="1"/>
    <w:qFormat/>
    <w:uiPriority w:val="0"/>
    <w:pPr>
      <w:tabs>
        <w:tab w:val="left" w:pos="0"/>
      </w:tabs>
      <w:spacing w:before="280" w:after="280"/>
      <w:outlineLvl w:val="0"/>
    </w:pPr>
    <w:rPr>
      <w:rFonts w:ascii="SimSun" w:hAnsi="SimSun" w:cs="SimSun"/>
      <w:b/>
      <w:bCs/>
      <w:kern w:val="2"/>
      <w:sz w:val="48"/>
      <w:szCs w:val="48"/>
      <w:lang w:val="en-US" w:eastAsia="zh-CN"/>
    </w:rPr>
  </w:style>
  <w:style w:type="paragraph" w:styleId="3">
    <w:name w:val="heading 2"/>
    <w:basedOn w:val="1"/>
    <w:next w:val="1"/>
    <w:qFormat/>
    <w:uiPriority w:val="0"/>
    <w:pPr>
      <w:keepNext/>
      <w:tabs>
        <w:tab w:val="left" w:pos="0"/>
      </w:tabs>
      <w:spacing w:before="240" w:after="60"/>
      <w:outlineLvl w:val="1"/>
    </w:pPr>
    <w:rPr>
      <w:rFonts w:ascii="Calibri Light" w:hAnsi="Calibri Light" w:cs="Calibri Light"/>
      <w:b/>
      <w:bCs/>
      <w:i/>
      <w:iCs/>
      <w:sz w:val="28"/>
      <w:szCs w:val="28"/>
    </w:rPr>
  </w:style>
  <w:style w:type="paragraph" w:styleId="4">
    <w:name w:val="heading 3"/>
    <w:basedOn w:val="1"/>
    <w:next w:val="1"/>
    <w:link w:val="21"/>
    <w:unhideWhenUsed/>
    <w:qFormat/>
    <w:uiPriority w:val="9"/>
    <w:pPr>
      <w:keepNext/>
      <w:spacing w:before="240" w:after="60"/>
      <w:outlineLvl w:val="2"/>
    </w:pPr>
    <w:rPr>
      <w:rFonts w:ascii="Calibri Light" w:hAnsi="Calibri Light" w:eastAsia="Times New Roman"/>
      <w:b/>
      <w:bCs/>
      <w:sz w:val="26"/>
      <w:szCs w:val="26"/>
    </w:rPr>
  </w:style>
  <w:style w:type="paragraph" w:styleId="5">
    <w:name w:val="heading 5"/>
    <w:basedOn w:val="1"/>
    <w:next w:val="1"/>
    <w:qFormat/>
    <w:uiPriority w:val="0"/>
    <w:pPr>
      <w:tabs>
        <w:tab w:val="left" w:pos="0"/>
      </w:tabs>
      <w:spacing w:before="240" w:after="60"/>
      <w:outlineLvl w:val="4"/>
    </w:pPr>
    <w:rPr>
      <w:b/>
      <w:bCs/>
      <w:i/>
      <w:iCs/>
      <w:sz w:val="26"/>
      <w:szCs w:val="26"/>
    </w:rPr>
  </w:style>
  <w:style w:type="character" w:default="1" w:styleId="6">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character" w:styleId="8">
    <w:name w:val="FollowedHyperlink"/>
    <w:unhideWhenUsed/>
    <w:qFormat/>
    <w:uiPriority w:val="99"/>
    <w:rPr>
      <w:color w:val="954F72"/>
      <w:u w:val="single"/>
    </w:rPr>
  </w:style>
  <w:style w:type="character" w:styleId="9">
    <w:name w:val="Emphasis"/>
    <w:qFormat/>
    <w:uiPriority w:val="20"/>
    <w:rPr>
      <w:rFonts w:cs="Times New Roman"/>
      <w:i/>
      <w:iCs/>
    </w:rPr>
  </w:style>
  <w:style w:type="character" w:styleId="10">
    <w:name w:val="Hyperlink"/>
    <w:uiPriority w:val="0"/>
    <w:rPr>
      <w:rFonts w:cs="Times New Roman"/>
      <w:color w:val="0000FF"/>
      <w:u w:val="single"/>
    </w:rPr>
  </w:style>
  <w:style w:type="character" w:styleId="11">
    <w:name w:val="page number"/>
    <w:qFormat/>
    <w:uiPriority w:val="0"/>
    <w:rPr>
      <w:rFonts w:cs="Times New Roman"/>
    </w:rPr>
  </w:style>
  <w:style w:type="character" w:styleId="12">
    <w:name w:val="Strong"/>
    <w:qFormat/>
    <w:uiPriority w:val="22"/>
    <w:rPr>
      <w:b/>
      <w:bCs/>
    </w:rPr>
  </w:style>
  <w:style w:type="paragraph" w:styleId="13">
    <w:name w:val="caption"/>
    <w:basedOn w:val="1"/>
    <w:qFormat/>
    <w:uiPriority w:val="0"/>
    <w:pPr>
      <w:suppressLineNumbers/>
      <w:spacing w:before="120" w:after="120"/>
    </w:pPr>
    <w:rPr>
      <w:rFonts w:cs="Arial"/>
      <w:i/>
      <w:iCs/>
      <w:sz w:val="24"/>
      <w:szCs w:val="24"/>
    </w:rPr>
  </w:style>
  <w:style w:type="paragraph" w:styleId="14">
    <w:name w:val="header"/>
    <w:basedOn w:val="1"/>
    <w:uiPriority w:val="0"/>
    <w:pPr>
      <w:tabs>
        <w:tab w:val="center" w:pos="4677"/>
        <w:tab w:val="right" w:pos="9355"/>
      </w:tabs>
    </w:pPr>
  </w:style>
  <w:style w:type="paragraph" w:styleId="15">
    <w:name w:val="Body Text"/>
    <w:basedOn w:val="1"/>
    <w:qFormat/>
    <w:uiPriority w:val="0"/>
    <w:pPr>
      <w:spacing w:after="120"/>
    </w:pPr>
  </w:style>
  <w:style w:type="paragraph" w:styleId="16">
    <w:name w:val="Body Text Indent"/>
    <w:basedOn w:val="1"/>
    <w:uiPriority w:val="0"/>
    <w:pPr>
      <w:spacing w:after="120"/>
      <w:ind w:left="283"/>
    </w:pPr>
  </w:style>
  <w:style w:type="paragraph" w:styleId="17">
    <w:name w:val="List"/>
    <w:basedOn w:val="15"/>
    <w:qFormat/>
    <w:uiPriority w:val="0"/>
    <w:rPr>
      <w:rFonts w:cs="Arial"/>
    </w:rPr>
  </w:style>
  <w:style w:type="paragraph" w:styleId="18">
    <w:name w:val="Normal (Web)"/>
    <w:basedOn w:val="1"/>
    <w:unhideWhenUsed/>
    <w:qFormat/>
    <w:uiPriority w:val="99"/>
    <w:pPr>
      <w:suppressAutoHyphens w:val="0"/>
      <w:spacing w:before="100" w:beforeAutospacing="1" w:after="100" w:afterAutospacing="1"/>
    </w:pPr>
    <w:rPr>
      <w:sz w:val="24"/>
      <w:szCs w:val="24"/>
    </w:rPr>
  </w:style>
  <w:style w:type="paragraph" w:styleId="19">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cs="SimSun"/>
      <w:sz w:val="24"/>
      <w:szCs w:val="24"/>
      <w:lang w:val="en-US" w:eastAsia="zh-CN"/>
    </w:rPr>
  </w:style>
  <w:style w:type="table" w:styleId="20">
    <w:name w:val="Table Grid"/>
    <w:basedOn w:val="7"/>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1">
    <w:name w:val="Заголовок 3 Знак"/>
    <w:link w:val="4"/>
    <w:semiHidden/>
    <w:uiPriority w:val="9"/>
    <w:rPr>
      <w:rFonts w:ascii="Calibri Light" w:hAnsi="Calibri Light" w:eastAsia="Times New Roman" w:cs="Times New Roman"/>
      <w:b/>
      <w:bCs/>
      <w:sz w:val="26"/>
      <w:szCs w:val="26"/>
    </w:rPr>
  </w:style>
  <w:style w:type="character" w:customStyle="1" w:styleId="22">
    <w:name w:val="WW8Num2z0"/>
    <w:uiPriority w:val="0"/>
    <w:rPr>
      <w:rFonts w:hint="default" w:ascii="Times New Roman" w:hAnsi="Times New Roman" w:cs="Times New Roman"/>
      <w:sz w:val="24"/>
      <w:szCs w:val="24"/>
    </w:rPr>
  </w:style>
  <w:style w:type="character" w:customStyle="1" w:styleId="23">
    <w:name w:val="WW8Num2z1"/>
    <w:qFormat/>
    <w:uiPriority w:val="0"/>
    <w:rPr>
      <w:rFonts w:cs="Times New Roman"/>
    </w:rPr>
  </w:style>
  <w:style w:type="character" w:customStyle="1" w:styleId="24">
    <w:name w:val="WW8Num3z0"/>
    <w:qFormat/>
    <w:uiPriority w:val="0"/>
    <w:rPr>
      <w:rFonts w:cs="Times New Roman"/>
    </w:rPr>
  </w:style>
  <w:style w:type="character" w:customStyle="1" w:styleId="25">
    <w:name w:val="WW8Num1z0"/>
    <w:uiPriority w:val="0"/>
    <w:rPr>
      <w:rFonts w:hint="default" w:ascii="Times New Roman" w:hAnsi="Times New Roman" w:cs="Times New Roman"/>
      <w:sz w:val="24"/>
      <w:szCs w:val="24"/>
    </w:rPr>
  </w:style>
  <w:style w:type="character" w:customStyle="1" w:styleId="26">
    <w:name w:val="WW8Num1z1"/>
    <w:uiPriority w:val="0"/>
    <w:rPr>
      <w:rFonts w:cs="Times New Roman"/>
    </w:rPr>
  </w:style>
  <w:style w:type="character" w:customStyle="1" w:styleId="27">
    <w:name w:val="WW8Num3z1"/>
    <w:qFormat/>
    <w:uiPriority w:val="0"/>
    <w:rPr>
      <w:rFonts w:hint="default" w:ascii="Courier New" w:hAnsi="Courier New" w:cs="Courier New"/>
    </w:rPr>
  </w:style>
  <w:style w:type="character" w:customStyle="1" w:styleId="28">
    <w:name w:val="WW8Num3z2"/>
    <w:qFormat/>
    <w:uiPriority w:val="0"/>
    <w:rPr>
      <w:rFonts w:hint="default" w:ascii="Wingdings" w:hAnsi="Wingdings" w:cs="Wingdings"/>
    </w:rPr>
  </w:style>
  <w:style w:type="character" w:customStyle="1" w:styleId="29">
    <w:name w:val="Основной шрифт абзаца1"/>
    <w:qFormat/>
    <w:uiPriority w:val="0"/>
  </w:style>
  <w:style w:type="character" w:customStyle="1" w:styleId="30">
    <w:name w:val="Основной текст (2)_"/>
    <w:qFormat/>
    <w:uiPriority w:val="0"/>
    <w:rPr>
      <w:rFonts w:ascii="Arial Narrow" w:hAnsi="Arial Narrow" w:cs="Arial Narrow"/>
      <w:b/>
      <w:sz w:val="15"/>
      <w:shd w:val="clear" w:color="auto" w:fill="FFFFFF"/>
    </w:rPr>
  </w:style>
  <w:style w:type="character" w:customStyle="1" w:styleId="31">
    <w:name w:val="apple-converted-space"/>
    <w:qFormat/>
    <w:uiPriority w:val="0"/>
    <w:rPr>
      <w:rFonts w:cs="Times New Roman"/>
    </w:rPr>
  </w:style>
  <w:style w:type="character" w:customStyle="1" w:styleId="32">
    <w:name w:val="Основной текст (3) + Не полужирный"/>
    <w:qFormat/>
    <w:uiPriority w:val="0"/>
    <w:rPr>
      <w:rFonts w:ascii="Times New Roman" w:hAnsi="Times New Roman" w:cs="Times New Roman"/>
      <w:b/>
      <w:color w:val="000000"/>
      <w:spacing w:val="0"/>
      <w:w w:val="100"/>
      <w:position w:val="0"/>
      <w:sz w:val="24"/>
      <w:u w:val="none"/>
      <w:vertAlign w:val="baseline"/>
      <w:lang w:val="uk-UA" w:eastAsia="uk-UA"/>
    </w:rPr>
  </w:style>
  <w:style w:type="character" w:customStyle="1" w:styleId="33">
    <w:name w:val="docdata1"/>
    <w:qFormat/>
    <w:uiPriority w:val="0"/>
    <w:rPr>
      <w:rFonts w:ascii="Times New Roman" w:hAnsi="Times New Roman" w:cs="Times New Roman"/>
    </w:rPr>
  </w:style>
  <w:style w:type="character" w:customStyle="1" w:styleId="34">
    <w:name w:val="xfmc2"/>
    <w:qFormat/>
    <w:uiPriority w:val="0"/>
    <w:rPr>
      <w:rFonts w:cs="Times New Roman"/>
    </w:rPr>
  </w:style>
  <w:style w:type="character" w:customStyle="1" w:styleId="35">
    <w:name w:val="Основной текст (2) + Полужирный1"/>
    <w:qFormat/>
    <w:uiPriority w:val="0"/>
    <w:rPr>
      <w:rFonts w:ascii="Times New Roman" w:hAnsi="Times New Roman" w:cs="Times New Roman"/>
      <w:b/>
      <w:sz w:val="28"/>
      <w:u w:val="none"/>
    </w:rPr>
  </w:style>
  <w:style w:type="character" w:customStyle="1" w:styleId="36">
    <w:name w:val="Символ нумерації"/>
    <w:qFormat/>
    <w:uiPriority w:val="0"/>
  </w:style>
  <w:style w:type="paragraph" w:customStyle="1" w:styleId="37">
    <w:name w:val="Заголовок1"/>
    <w:basedOn w:val="1"/>
    <w:next w:val="15"/>
    <w:qFormat/>
    <w:uiPriority w:val="0"/>
    <w:pPr>
      <w:keepNext/>
      <w:spacing w:before="240" w:after="120"/>
    </w:pPr>
    <w:rPr>
      <w:rFonts w:ascii="Liberation Sans" w:hAnsi="Liberation Sans" w:eastAsia="Microsoft YaHei" w:cs="Arial"/>
      <w:sz w:val="28"/>
      <w:szCs w:val="28"/>
    </w:rPr>
  </w:style>
  <w:style w:type="paragraph" w:customStyle="1" w:styleId="38">
    <w:name w:val="Покажчик"/>
    <w:basedOn w:val="1"/>
    <w:uiPriority w:val="0"/>
    <w:pPr>
      <w:suppressLineNumbers/>
    </w:pPr>
    <w:rPr>
      <w:rFonts w:cs="Arial"/>
    </w:rPr>
  </w:style>
  <w:style w:type="paragraph" w:customStyle="1" w:styleId="39">
    <w:name w:val="Caption1"/>
    <w:basedOn w:val="1"/>
    <w:qFormat/>
    <w:uiPriority w:val="0"/>
    <w:pPr>
      <w:suppressLineNumbers/>
      <w:spacing w:before="120" w:after="120"/>
    </w:pPr>
    <w:rPr>
      <w:rFonts w:cs="Arial"/>
      <w:i/>
      <w:iCs/>
      <w:sz w:val="24"/>
      <w:szCs w:val="24"/>
    </w:rPr>
  </w:style>
  <w:style w:type="paragraph" w:customStyle="1" w:styleId="40">
    <w:name w:val="Caption11"/>
    <w:basedOn w:val="1"/>
    <w:qFormat/>
    <w:uiPriority w:val="0"/>
    <w:pPr>
      <w:suppressLineNumbers/>
      <w:spacing w:before="120" w:after="120"/>
    </w:pPr>
    <w:rPr>
      <w:rFonts w:cs="Arial"/>
      <w:i/>
      <w:iCs/>
      <w:sz w:val="24"/>
      <w:szCs w:val="24"/>
    </w:rPr>
  </w:style>
  <w:style w:type="paragraph" w:customStyle="1" w:styleId="41">
    <w:name w:val="Caption111"/>
    <w:basedOn w:val="1"/>
    <w:qFormat/>
    <w:uiPriority w:val="0"/>
    <w:pPr>
      <w:suppressLineNumbers/>
      <w:spacing w:before="120" w:after="120"/>
    </w:pPr>
    <w:rPr>
      <w:rFonts w:cs="Arial"/>
      <w:i/>
      <w:iCs/>
      <w:sz w:val="24"/>
      <w:szCs w:val="24"/>
    </w:rPr>
  </w:style>
  <w:style w:type="paragraph" w:customStyle="1" w:styleId="42">
    <w:name w:val="Текст1"/>
    <w:basedOn w:val="1"/>
    <w:qFormat/>
    <w:uiPriority w:val="0"/>
    <w:rPr>
      <w:rFonts w:ascii="Courier New" w:hAnsi="Courier New" w:cs="Courier New"/>
    </w:rPr>
  </w:style>
  <w:style w:type="paragraph" w:customStyle="1" w:styleId="43">
    <w:name w:val="Верхній і нижній колонтитули"/>
    <w:basedOn w:val="1"/>
    <w:qFormat/>
    <w:uiPriority w:val="0"/>
    <w:pPr>
      <w:suppressLineNumbers/>
      <w:tabs>
        <w:tab w:val="center" w:pos="4819"/>
        <w:tab w:val="right" w:pos="9638"/>
      </w:tabs>
    </w:pPr>
  </w:style>
  <w:style w:type="paragraph" w:customStyle="1" w:styleId="44">
    <w:name w:val="Style5"/>
    <w:basedOn w:val="1"/>
    <w:qFormat/>
    <w:uiPriority w:val="0"/>
    <w:pPr>
      <w:widowControl w:val="0"/>
      <w:autoSpaceDE w:val="0"/>
    </w:pPr>
    <w:rPr>
      <w:sz w:val="24"/>
      <w:szCs w:val="24"/>
    </w:rPr>
  </w:style>
  <w:style w:type="paragraph" w:customStyle="1" w:styleId="45">
    <w:name w:val="Основной текст (2)"/>
    <w:basedOn w:val="1"/>
    <w:uiPriority w:val="0"/>
    <w:pPr>
      <w:shd w:val="clear" w:color="auto" w:fill="FFFFFF"/>
      <w:spacing w:line="240" w:lineRule="atLeast"/>
    </w:pPr>
    <w:rPr>
      <w:rFonts w:ascii="Arial Narrow" w:hAnsi="Arial Narrow" w:cs="Arial Narrow"/>
      <w:b/>
      <w:sz w:val="15"/>
      <w:shd w:val="clear" w:color="auto" w:fill="FFFFFF"/>
      <w:lang w:val="uk-UA" w:eastAsia="uk-UA"/>
    </w:rPr>
  </w:style>
  <w:style w:type="paragraph" w:customStyle="1" w:styleId="46">
    <w:name w:val="List Paragraph1"/>
    <w:basedOn w:val="1"/>
    <w:uiPriority w:val="0"/>
    <w:pPr>
      <w:spacing w:after="200" w:line="276" w:lineRule="auto"/>
      <w:ind w:left="720"/>
      <w:contextualSpacing/>
    </w:pPr>
    <w:rPr>
      <w:rFonts w:ascii="Calibri" w:hAnsi="Calibri" w:cs="Calibri"/>
      <w:sz w:val="22"/>
      <w:szCs w:val="22"/>
      <w:lang w:eastAsia="en-US"/>
    </w:rPr>
  </w:style>
  <w:style w:type="paragraph" w:customStyle="1" w:styleId="47">
    <w:name w:val="2034"/>
    <w:basedOn w:val="1"/>
    <w:uiPriority w:val="0"/>
    <w:pPr>
      <w:spacing w:before="100" w:after="100"/>
    </w:pPr>
    <w:rPr>
      <w:sz w:val="24"/>
      <w:szCs w:val="24"/>
    </w:rPr>
  </w:style>
  <w:style w:type="paragraph" w:customStyle="1" w:styleId="48">
    <w:name w:val="2057"/>
    <w:basedOn w:val="1"/>
    <w:qFormat/>
    <w:uiPriority w:val="0"/>
    <w:pPr>
      <w:spacing w:before="100" w:after="100"/>
    </w:pPr>
    <w:rPr>
      <w:sz w:val="24"/>
      <w:szCs w:val="24"/>
    </w:rPr>
  </w:style>
  <w:style w:type="paragraph" w:customStyle="1" w:styleId="49">
    <w:name w:val="Table Paragraph"/>
    <w:basedOn w:val="1"/>
    <w:uiPriority w:val="0"/>
    <w:pPr>
      <w:widowControl w:val="0"/>
      <w:autoSpaceDE w:val="0"/>
    </w:pPr>
    <w:rPr>
      <w:sz w:val="22"/>
      <w:szCs w:val="22"/>
      <w:lang w:val="en-US" w:eastAsia="en-US"/>
    </w:rPr>
  </w:style>
  <w:style w:type="paragraph" w:customStyle="1" w:styleId="50">
    <w:name w:val="Вміст таблиці"/>
    <w:basedOn w:val="1"/>
    <w:qFormat/>
    <w:uiPriority w:val="0"/>
    <w:pPr>
      <w:widowControl w:val="0"/>
      <w:suppressLineNumbers/>
    </w:pPr>
  </w:style>
  <w:style w:type="paragraph" w:customStyle="1" w:styleId="51">
    <w:name w:val="Заголовок таблиці"/>
    <w:basedOn w:val="50"/>
    <w:qFormat/>
    <w:uiPriority w:val="0"/>
    <w:pPr>
      <w:jc w:val="center"/>
    </w:pPr>
    <w:rPr>
      <w:b/>
      <w:bCs/>
    </w:rPr>
  </w:style>
  <w:style w:type="paragraph" w:customStyle="1" w:styleId="52">
    <w:name w:val="Вміст рамки"/>
    <w:basedOn w:val="1"/>
    <w:qFormat/>
    <w:uiPriority w:val="0"/>
  </w:style>
  <w:style w:type="character" w:customStyle="1" w:styleId="53">
    <w:name w:val="Незакрита згадка"/>
    <w:unhideWhenUsed/>
    <w:qFormat/>
    <w:uiPriority w:val="99"/>
    <w:rPr>
      <w:color w:val="605E5C"/>
      <w:shd w:val="clear" w:color="auto" w:fill="E1DFDD"/>
    </w:rPr>
  </w:style>
  <w:style w:type="paragraph" w:styleId="54">
    <w:name w:val="List Paragraph"/>
    <w:basedOn w:val="1"/>
    <w:qFormat/>
    <w:uiPriority w:val="34"/>
    <w:pPr>
      <w:suppressAutoHyphens w:val="0"/>
      <w:spacing w:after="200" w:line="276" w:lineRule="auto"/>
      <w:ind w:left="720"/>
      <w:contextualSpacing/>
    </w:pPr>
    <w:rPr>
      <w:rFonts w:ascii="Calibri" w:hAnsi="Calibri" w:eastAsia="Calibri"/>
      <w:sz w:val="22"/>
      <w:szCs w:val="22"/>
      <w:lang w:eastAsia="en-US"/>
    </w:rPr>
  </w:style>
  <w:style w:type="character" w:customStyle="1" w:styleId="55">
    <w:name w:val="Unresolved Mention"/>
    <w:basedOn w:val="6"/>
    <w:semiHidden/>
    <w:unhideWhenUsed/>
    <w:qFormat/>
    <w:uiPriority w:val="99"/>
    <w:rPr>
      <w:color w:val="605E5C"/>
      <w:shd w:val="clear" w:color="auto" w:fill="E1DFDD"/>
    </w:rPr>
  </w:style>
  <w:style w:type="paragraph" w:styleId="56">
    <w:name w:val="No Spacing"/>
    <w:qFormat/>
    <w:uiPriority w:val="1"/>
    <w:rPr>
      <w:rFonts w:asciiTheme="minorHAnsi" w:hAnsiTheme="minorHAnsi" w:eastAsiaTheme="minorHAnsi" w:cstheme="minorBidi"/>
      <w:kern w:val="2"/>
      <w:sz w:val="24"/>
      <w:szCs w:val="24"/>
      <w:lang w:val="en-US" w:eastAsia="en-US" w:bidi="ar-SA"/>
      <w14:ligatures w14:val="standardContextual"/>
    </w:rPr>
  </w:style>
  <w:style w:type="character" w:customStyle="1" w:styleId="57">
    <w:name w:val="ng-star-inserted"/>
    <w:basedOn w:val="6"/>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13</Pages>
  <Words>3777</Words>
  <Characters>21535</Characters>
  <Lines>179</Lines>
  <Paragraphs>50</Paragraphs>
  <TotalTime>41</TotalTime>
  <ScaleCrop>false</ScaleCrop>
  <LinksUpToDate>false</LinksUpToDate>
  <CharactersWithSpaces>25262</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2025-12-04T11:49:00Z</dcterms:created>
  <dc:creator>ADMIN</dc:creator>
  <cp:lastModifiedBy>sliepykh.kateryna</cp:lastModifiedBy>
  <cp:lastPrinted>2025-03-07T12:12:00Z</cp:lastPrinted>
  <dcterms:modified xsi:type="dcterms:W3CDTF">2026-01-21T14:29:50Z</dcterms:modified>
  <dc:title>ПрАТ  “ВНЗ “МІЖРЕГІОНАЛЬНА АКАДЕМІЯ УПРАВЛІННЯ ПЕРСОНАЛОМ”</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98BD9B5614234114839ADF3A52FBBF1C_13</vt:lpwstr>
  </property>
  <property fmtid="{D5CDD505-2E9C-101B-9397-08002B2CF9AE}" pid="3" name="KSOProductBuildVer">
    <vt:lpwstr>1049-12.2.0.22549</vt:lpwstr>
  </property>
</Properties>
</file>