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88975" cy="81597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HISTORY AND CULTURE OF UKRAINE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608.0" w:type="dxa"/>
        <w:jc w:val="left"/>
        <w:tblInd w:w="-108.0" w:type="dxa"/>
        <w:tblLayout w:type="fixed"/>
        <w:tblLook w:val="0000"/>
      </w:tblPr>
      <w:tblGrid>
        <w:gridCol w:w="4644"/>
        <w:gridCol w:w="4964"/>
        <w:tblGridChange w:id="0">
          <w:tblGrid>
            <w:gridCol w:w="4644"/>
            <w:gridCol w:w="4964"/>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History and culture of Ukraine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26  hours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26  hours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 </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“History and Culture of Ukraine” is aimed at forming in higher education students a historical worldview that would provide them with skilful orientation in the historical and social processes of society, an active life position and highly productive fulfilment of their professional duties. This course will teach you to navigate in historical time, establish close and distant cause-and-effect relationships, consider social phenomena in specific historical conditions and taking into account the peculiarities of the historical development of Ukraine, identify changes in society; navigate in historical space and find interdependencies in the development of society, economy, culture and the natural environment; define and apply theoretical concepts for the analysis and explanation of historical events and phenomena, ask questions and seek answers, understand the multiplicity of interpretations of the past and compare its various interpretations.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process of formation and development of Ukrainian society from ancient times to the present day in connection with the evolution of its material and spiritual culture. The discipline covers the study of key stages of political, socio-economic and cultural history of Ukraine: from ancient times, Kyivan Rus, Galicia-Volyn state, the period of Lithuanian-Polish rule, the era of Cossacks and the Ukrainian National Revolution, to the history of Ukrainian lands as part of empires, the events of the national-democratic revolution of 1917–1920, the interwar period, World War II, post-war development, gaining and strengthening independence, as well as the formation of Ukraine's relations with the EU.</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cultural component is aimed at clarifying the origins and prerequisites of Ukrainian culture, the features of cultural development in the era of Kyivan Rus, during the Ukrainian Baroque and National Revival, in the 19th - early 20th centuries, in the 20th - early 21st centuries, as well as at understanding spiritual culture as a form of human self-realization in the Ukrainian historical and modern context.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form in students a systematic understanding of the historical development of Ukrainian society and the formation of its culture from ancient times to the present day, understanding the key stages of political, socio-economic and cultural transformations, awareness of the role of Ukraine in world history and cultural space, as well as the upbringing of national consciousness, patriotism and respect for the historical heritage and spiritual values of the Ukrainian people.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5"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form the ability to exercise one's rights and responsibilities as a member of society, </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5"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realize the values ​​of civil society in Ukraine through the study of the history of Ukraine from ancient times to the present day, including Kyivan Rus', the Galician-Volyn Principality, the period of Lithuanian-Polish rule, the era of the Cossacks and the Ukrainian National Revolution, the history of Ukrainian lands as part of the Russian and Austrian Empires, the events of the national-democratic revolution of 1917–1920, the interwar period, World War II, the post-war development and formation of independent Ukraine and its relations with the EU.</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contributes to the preservation and increase of moral, cultural and scientific values through the study of the origins and prerequisites of Ukrainian culture, the culture of Kyivan Rus, the Ukrainian Baroque, the national revival, the development of culture in the 19th–21st centuries, spiritual culture as a way of human self-realization, as well as the development of skills in analyzing historical sources, cartographic materials, cultural artifacts and critical evaluation of historical and cultural processes.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prerequisites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“History and Culture of Ukraine” has no formal prerequisites, as it is aimed at the formation of fundamental knowledge about the historical development and cultural heritage of Ukraine, based on the general educational preparation of applicants received in the process of schooling.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 for the discipline: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Courses in Law, History of Management, and Fundamentals of Academic Writing. This is justified by the fact that knowledge of the history and culture of Ukraine creates a contextual basis for further study of the legal aspects of social life in the course of Jurisprudence, allows correlating historical processes with the development of management practices in the History of Management, and academic writing skills are necessary for analyzing sources, formulating reasoned conclusions, and preparing scientific and analytical materials in further disciplines.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tbl>
      <w:tblPr>
        <w:tblStyle w:val="Table4"/>
        <w:tblpPr w:leftFromText="180" w:rightFromText="180" w:topFromText="0" w:bottomFromText="0" w:vertAnchor="text" w:horzAnchor="text" w:tblpX="119" w:tblpY="50"/>
        <w:tblW w:w="9606.0" w:type="dxa"/>
        <w:jc w:val="left"/>
        <w:tblInd w:w="-108.0" w:type="dxa"/>
        <w:tblLayout w:type="fixed"/>
        <w:tblLook w:val="0000"/>
      </w:tblPr>
      <w:tblGrid>
        <w:gridCol w:w="1951"/>
        <w:gridCol w:w="7655"/>
        <w:tblGridChange w:id="0">
          <w:tblGrid>
            <w:gridCol w:w="1951"/>
            <w:gridCol w:w="7655"/>
          </w:tblGrid>
        </w:tblGridChange>
      </w:tblGrid>
      <w:tr>
        <w:trPr>
          <w:cantSplit w:val="0"/>
          <w:trHeight w:val="26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jc w:val="both"/>
              <w:rPr>
                <w:sz w:val="26"/>
                <w:szCs w:val="26"/>
              </w:rPr>
            </w:pPr>
            <w:r w:rsidDel="00000000" w:rsidR="00000000" w:rsidRPr="00000000">
              <w:rPr>
                <w:sz w:val="26"/>
                <w:szCs w:val="26"/>
                <w:rtl w:val="0"/>
              </w:rPr>
              <w:t xml:space="preserve">GC1. Ability to exercise one’s rights and responsibilities as a member of society; understand the values of a civil (democratic) society and the need for its sustainable development, the rule of law, and human and civil rights and freedoms in Ukraine.</w:t>
            </w:r>
          </w:p>
          <w:p w:rsidR="00000000" w:rsidDel="00000000" w:rsidP="00000000" w:rsidRDefault="00000000" w:rsidRPr="00000000" w14:paraId="0000006A">
            <w:pPr>
              <w:jc w:val="both"/>
              <w:rPr>
                <w:sz w:val="26"/>
                <w:szCs w:val="26"/>
              </w:rPr>
            </w:pPr>
            <w:r w:rsidDel="00000000" w:rsidR="00000000" w:rsidRPr="00000000">
              <w:rPr>
                <w:sz w:val="26"/>
                <w:szCs w:val="26"/>
                <w:rtl w:val="0"/>
              </w:rPr>
              <w:t xml:space="preserve">GC2. 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recreation and maintaining a healthy lifestyle.</w:t>
            </w:r>
          </w:p>
          <w:p w:rsidR="00000000" w:rsidDel="00000000" w:rsidP="00000000" w:rsidRDefault="00000000" w:rsidRPr="00000000" w14:paraId="0000006B">
            <w:pPr>
              <w:jc w:val="both"/>
              <w:rPr>
                <w:sz w:val="30"/>
                <w:szCs w:val="30"/>
              </w:rPr>
            </w:pPr>
            <w:r w:rsidDel="00000000" w:rsidR="00000000" w:rsidRPr="00000000">
              <w:rPr>
                <w:sz w:val="26"/>
                <w:szCs w:val="26"/>
                <w:rtl w:val="0"/>
              </w:rPr>
              <w:t xml:space="preserve">GC13. Appreciation of and respect for diversity and multiculturalism.</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widowControl w:val="0"/>
              <w:spacing w:line="278.00000000000006" w:lineRule="auto"/>
              <w:ind w:lef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6"/>
                <w:szCs w:val="26"/>
                <w:rtl w:val="0"/>
              </w:rPr>
              <w:t xml:space="preserve">ILO1. Know one’s rights and responsibilities as a member of society; understand the values of civil society, the rule of law, and human and civil rights and freedoms in Ukraine.</w:t>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8" w:tblpY="197"/>
        <w:tblW w:w="9608.0" w:type="dxa"/>
        <w:jc w:val="left"/>
        <w:tblInd w:w="-108.0" w:type="dxa"/>
        <w:tblLayout w:type="fixed"/>
        <w:tblLook w:val="0000"/>
      </w:tblPr>
      <w:tblGrid>
        <w:gridCol w:w="1103"/>
        <w:gridCol w:w="3577"/>
        <w:gridCol w:w="533"/>
        <w:gridCol w:w="709"/>
        <w:gridCol w:w="709"/>
        <w:gridCol w:w="2977"/>
        <w:tblGridChange w:id="0">
          <w:tblGrid>
            <w:gridCol w:w="1103"/>
            <w:gridCol w:w="3577"/>
            <w:gridCol w:w="533"/>
            <w:gridCol w:w="709"/>
            <w:gridCol w:w="709"/>
            <w:gridCol w:w="2977"/>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52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412"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The main stages of the historical development of Ukraine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verbal (educational lecture; conversation; educational discussion; story); inductive method; deductive method; analytical; synthetic; comparative-historical; chronological; system-structural; explanatory-illustrative; reproductive; interactive methods (discussions, debates, brainstorming; dialogue, synthesis of thoughts; practice of source analysis skills; processing of discussion issues); case method.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analysis of oral speeches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presentations); written control (control works, independent works,  essays, written case tasks on historical topics); test control (closed form tests: test alternative, test compliance, open form tests); method of self-control and self-assessment; completed project and creative tasks.</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 to discipline. The ancient era of the history of Ukraine.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Kievan Rus (kin. IX ‒ beginning. XIII century). Galicia-Volyn principality. Ukrainian lands under the rule of Lithuania and Poland (XIV –, first half of the XVII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Cossacks. The Ukrainian National Revolution of the middle of the 17th century. Ukrainian Hetman State, Right-Bank Ukraine, Zaporizhzhya Sich at the end of the 17th ‒ in the 18th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lands as part of the Russian and Austrian empires at the end of the 18th – in the first half of the 19th century. Ukraine in the second half. XIX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Ukraine at the beginning of the 20th century. National Democratic Revolution of 1917-1920. Ukraine in the 1920s and 1930s. 20th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Ukraine in the Second World War (1939-1945) and the post-war period (1945-1954).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Ukraine in 1954-1991. The main milestones of historical development 1991-2021. The history of Ukraine – EU relations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History of Ukrainian culture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Origins and prerequisites of the formation of Ukrainian culture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Culture of Kyivan Rus. Ukrainian culture in the second half of the 14th –, the first half of the 17th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Baroque (middle of the 17th –, end of the 18th century). National revival in Ukraine (end of XVIII – XIX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Ukrainian culture in the second half of the 19th – at the beginning of the 20th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culture of the 20th – of the beginning of the 21st century.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Spiritual culture as a way of human self-realization (on the example of Ukraine)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19"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test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exam</w:t>
            </w: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ci5osis7lm3c"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tbl>
      <w:tblPr>
        <w:tblStyle w:val="Table6"/>
        <w:tblW w:w="9748.0" w:type="dxa"/>
        <w:jc w:val="left"/>
        <w:tblInd w:w="-55.0" w:type="dxa"/>
        <w:tblLayout w:type="fixed"/>
        <w:tblLook w:val="0000"/>
      </w:tblPr>
      <w:tblGrid>
        <w:gridCol w:w="1427"/>
        <w:gridCol w:w="421"/>
        <w:gridCol w:w="421"/>
        <w:gridCol w:w="425"/>
        <w:gridCol w:w="425"/>
        <w:gridCol w:w="425"/>
        <w:gridCol w:w="425"/>
        <w:gridCol w:w="427"/>
        <w:gridCol w:w="425"/>
        <w:gridCol w:w="425"/>
        <w:gridCol w:w="339"/>
        <w:gridCol w:w="16"/>
        <w:gridCol w:w="25"/>
        <w:gridCol w:w="382"/>
        <w:gridCol w:w="10"/>
        <w:gridCol w:w="365"/>
        <w:gridCol w:w="23"/>
        <w:gridCol w:w="353"/>
        <w:gridCol w:w="1047"/>
        <w:gridCol w:w="977"/>
        <w:gridCol w:w="965"/>
        <w:tblGridChange w:id="0">
          <w:tblGrid>
            <w:gridCol w:w="1427"/>
            <w:gridCol w:w="421"/>
            <w:gridCol w:w="421"/>
            <w:gridCol w:w="425"/>
            <w:gridCol w:w="425"/>
            <w:gridCol w:w="425"/>
            <w:gridCol w:w="425"/>
            <w:gridCol w:w="427"/>
            <w:gridCol w:w="425"/>
            <w:gridCol w:w="425"/>
            <w:gridCol w:w="339"/>
            <w:gridCol w:w="16"/>
            <w:gridCol w:w="25"/>
            <w:gridCol w:w="382"/>
            <w:gridCol w:w="10"/>
            <w:gridCol w:w="365"/>
            <w:gridCol w:w="23"/>
            <w:gridCol w:w="353"/>
            <w:gridCol w:w="1047"/>
            <w:gridCol w:w="977"/>
            <w:gridCol w:w="96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7"/>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monitoring</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24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tcBorders>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gridSpan w:val="4"/>
            <w:tcBorders>
              <w:left w:color="000000" w:space="0" w:sz="4" w:val="single"/>
              <w:bottom w:color="000000" w:space="0" w:sz="4" w:val="single"/>
            </w:tcBorders>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gridSpan w:val="2"/>
            <w:tcBorders>
              <w:left w:color="000000" w:space="0" w:sz="4" w:val="single"/>
              <w:bottom w:color="000000" w:space="0" w:sz="4" w:val="single"/>
            </w:tcBorders>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left w:color="000000" w:space="0" w:sz="4" w:val="single"/>
              <w:bottom w:color="000000" w:space="0" w:sz="4"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Merge w:val="restart"/>
            <w:tcBorders>
              <w:left w:color="000000" w:space="0" w:sz="4" w:val="single"/>
              <w:bottom w:color="000000" w:space="0" w:sz="4" w:val="single"/>
            </w:tcBorders>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vMerge w:val="restart"/>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gridSpan w:val="3"/>
            <w:tcBorders>
              <w:left w:color="000000" w:space="0" w:sz="4" w:val="single"/>
              <w:bottom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gridSpan w:val="2"/>
            <w:tcBorders>
              <w:left w:color="000000" w:space="0" w:sz="4" w:val="single"/>
              <w:bottom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gridSpan w:val="2"/>
            <w:tcBorders>
              <w:left w:color="000000" w:space="0" w:sz="4" w:val="single"/>
              <w:bottom w:color="000000" w:space="0" w:sz="4" w:val="single"/>
            </w:tcBorders>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3"/>
            <w:tcBorders>
              <w:left w:color="000000" w:space="0" w:sz="4" w:val="single"/>
              <w:bottom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“History and culture of Ukraine” is conducted in written form as testing using closed-type test items, including alternative and matching formats.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“History and culture of Ukraine”: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academic discipline “History and culture of Ukraine”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number of points for ongoing assessment is 60, and the maximum for the exam is 40.</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minimum number of points required to pass the exam is 25.</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not completed; the student has demonstrated theoretical knowledge with major errors.</w:t>
            </w:r>
          </w:p>
        </w:tc>
      </w:tr>
    </w:tbl>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8"/>
        <w:tblW w:w="9481.0" w:type="dxa"/>
        <w:jc w:val="left"/>
        <w:tblInd w:w="-53.00000000000001"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“History and culture of Ukraine”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“History and culture of Ukraine”.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Bakalets, O.A. History of Ukraine from ancient times to the beginning of the 21st century: textbook. Lviv: Magnolia 2006, 2017. 580 p.</w:t>
      </w:r>
    </w:p>
    <w:p w:rsidR="00000000" w:rsidDel="00000000" w:rsidP="00000000" w:rsidRDefault="00000000" w:rsidRPr="00000000" w14:paraId="000001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Boiko, O.D. History of Ukraine: textbook. Kyiv: Akademvydav, 2021. 640 p.</w:t>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Boeva, S.Yu., Buzan, V.Yu., Kizlova, A.A., et al. Ukraine in the Context of European Historical Development: Textbook for Igor Sikorsky Kyiv Polytechnic Institute / Edited by S.O. Kostylieva. Kyiv: Art Ekonom, 2021. 306 p.</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Bukach, V.M. History of Ukrainian Culture. Handbook. Odesa: PNPU, 2021. 120 p.</w:t>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History and Culture of Ukraine: Textbook / comp. Bidzili P.O., Didyk S.S., Kasatkina K.A. Zaporizhzhia: ZSMU, 2020. 156 p.</w:t>
      </w:r>
    </w:p>
    <w:p w:rsidR="00000000" w:rsidDel="00000000" w:rsidP="00000000" w:rsidRDefault="00000000" w:rsidRPr="00000000" w14:paraId="000001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02"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Tantsyura V. I., Kulish S. M., Peresada O. O. History of Ukraine: Textbook. Kharkiv: V. N. Karazin Kharkiv National University, 2020. 536 p.</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Andreyev V.M. The Ancient Period in the History of Ukraine in the Context of V. Petrov's “Theory of Epochs.” Scientific Works. History. 2012. Vol. 207. No. 195.</w:t>
      </w:r>
    </w:p>
    <w:p w:rsidR="00000000" w:rsidDel="00000000" w:rsidP="00000000" w:rsidRDefault="00000000" w:rsidRPr="00000000" w14:paraId="000001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Veselovskaya G.I. Ukrainian Theater Avant-Garde. Kyiv: Phoenix, 2010. 368 p.</w:t>
      </w:r>
    </w:p>
    <w:p w:rsidR="00000000" w:rsidDel="00000000" w:rsidP="00000000" w:rsidRDefault="00000000" w:rsidRPr="00000000" w14:paraId="000001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Gold, G., Dorosheva, A.O. The anti-fascist movement in Southern Bessarabia in 1941-1944 and the collapse of Romania. “Gileya (scientific journal)”: collection of scientific works. Kyiv: Gileya Publishing House, 2018. Issue 139 (12). Part 1. Historical Sciences. Pp. 178-183.</w:t>
      </w:r>
    </w:p>
    <w:p w:rsidR="00000000" w:rsidDel="00000000" w:rsidP="00000000" w:rsidRDefault="00000000" w:rsidRPr="00000000" w14:paraId="000001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Dvornik, F. Slavs in European History and Civilization. Kyiv: Dukh i Litera, 2000. 528 pp.</w:t>
      </w:r>
    </w:p>
    <w:p w:rsidR="00000000" w:rsidDel="00000000" w:rsidP="00000000" w:rsidRDefault="00000000" w:rsidRPr="00000000" w14:paraId="000001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Demydenko O. Intellectual migration of Ukrainians at the turn of the 20th and 21st centuries: scale and main characteristics of the phenomenon. Historical and political problems of the modern world. 2019. No. 39. Pp. 174-181.</w:t>
      </w:r>
    </w:p>
    <w:p w:rsidR="00000000" w:rsidDel="00000000" w:rsidP="00000000" w:rsidRDefault="00000000" w:rsidRPr="00000000" w14:paraId="000001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Dovhan, Yu. L. Diplomatic relations between representatives of the Ukrainian People's Republic and the Western Ukrainian People's Republic with the victorious powers in the final stage of the national liberation struggle (August 1919 – November 1920): historiography of the problem. Gileya: Scientific Bulletin. 2014. No. 90. Pp. 122–127.</w:t>
      </w:r>
    </w:p>
    <w:p w:rsidR="00000000" w:rsidDel="00000000" w:rsidP="00000000" w:rsidRDefault="00000000" w:rsidRPr="00000000" w14:paraId="000001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Dorosheva, A.O. Peacekeeping efforts and attempts to resolve Russia's military aggression against Ukraine: a historical review. Dorosheva A.O., Devterov I.V., Poperechna G.A. Topical Issues in Contemporary Science. 2023. No. 11 (17). Pp. 1123–1136.</w:t>
      </w:r>
    </w:p>
    <w:p w:rsidR="00000000" w:rsidDel="00000000" w:rsidP="00000000" w:rsidRDefault="00000000" w:rsidRPr="00000000" w14:paraId="000001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Dorosheva A.O.  “Oral History” in the Study of Postwar Life of the Population of Southern Ukraine. III Danube Scientific Readings: The Famine of 1946-1947: Historical, Philosophical, Psychological, and Pedagogical Aspects: Materials from the International Scientific and Practical Conference (May 18-19, 2017). Izmail, RVV IDGU; “Smyl,” 2017. pp. 86-89.</w:t>
      </w:r>
    </w:p>
    <w:p w:rsidR="00000000" w:rsidDel="00000000" w:rsidP="00000000" w:rsidRDefault="00000000" w:rsidRPr="00000000" w14:paraId="000001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Ivanova L.G. Ukraine between East and West – on the problem of the formation of the national idea in Ukrainian socio-political thought in the context of Eastern European development (first half of the 19th century). Kyiv: M. Dragomanov National Pedagogical University, 2007. 136 pp.</w:t>
      </w:r>
    </w:p>
    <w:p w:rsidR="00000000" w:rsidDel="00000000" w:rsidP="00000000" w:rsidRDefault="00000000" w:rsidRPr="00000000" w14:paraId="000001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Karl Schlögel. The Ukrainian Challenge: The Discovery of a European Country. Kyiv: Dukh i Litera, 2016.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https://web.archive.org/web/20180630192948/http://duh-i-litera.com/ukrajinskyj-vyklyk-vidkryttya-jevropejskoji-krajiny/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Kolesnyk, O.V. Printing establishments in the cultural life of the Kherson province in the second half of the 19th century. Young Scientist. 2015. No. 8 (1). Pp. 37-40.</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Krasnytska, H.M. The genocide of Ukrainian culture in the second half of the 19th century. Gileya: Scientific Bulletin. 2015. No. 96. Pp. 30–33.</w:t>
      </w:r>
    </w:p>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Kurganova O. Baroque poetry in Ukrainian old prints as an object of scientific and bibliographic accounting. Scientific works of the V. Vernadsky National Library of Ukraine. 2016. No. 44. Pp. 316-328.</w:t>
      </w:r>
    </w:p>
    <w:p w:rsidR="00000000" w:rsidDel="00000000" w:rsidP="00000000" w:rsidRDefault="00000000" w:rsidRPr="00000000" w14:paraId="000001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Kucherov G.G., Kotsyuk V.D. Forums of the Right Bank Ukraine Enlightenment as a driving force of their cultural and educational activities (1917-1922). Bulletin of the Ivan Ohienko Kamianets-Podilskyi National University. Historical Sciences. 2013. No. 6. Pp. 331-339.</w:t>
      </w:r>
    </w:p>
    <w:p w:rsidR="00000000" w:rsidDel="00000000" w:rsidP="00000000" w:rsidRDefault="00000000" w:rsidRPr="00000000" w14:paraId="000001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Lytvyn V. Institutional, procedural, political, and behavioral options for the development and reform of the semi-presidential system of government in Ukraine. Scientific Notes of the I.F. Kuras Institute of Political and Ethnic Studies of the National Academy of Sciences of Ukraine. 2018. No. 2 (94). Pp. 201-221.</w:t>
      </w:r>
    </w:p>
    <w:p w:rsidR="00000000" w:rsidDel="00000000" w:rsidP="00000000" w:rsidRDefault="00000000" w:rsidRPr="00000000" w14:paraId="000002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Lisova K.S. The implementation of the idea of parliamentarism during the Ukrainian Revolution (1917–1921). Journal of the Kyiv University of Law. 2015. No. 2. Pp. 20-25.</w:t>
      </w:r>
    </w:p>
    <w:p w:rsidR="00000000" w:rsidDel="00000000" w:rsidP="00000000" w:rsidRDefault="00000000" w:rsidRPr="00000000" w14:paraId="000002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Lauren Anna-Lena, Ludenius Peter. Ukraine on the Brink. Lviv: LA “Pyramida.” 2016. 128 pp.</w:t>
      </w:r>
    </w:p>
    <w:p w:rsidR="00000000" w:rsidDel="00000000" w:rsidP="00000000" w:rsidRDefault="00000000" w:rsidRPr="00000000" w14:paraId="000002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Pak N.T., Kostyshyn E.I. The Financial System of Ukraine during the Cossack State (1648-1657). Economic Bulletin of the University. 2016. No. 28 (1). Pp. 133-140.</w:t>
      </w:r>
    </w:p>
    <w:p w:rsidR="00000000" w:rsidDel="00000000" w:rsidP="00000000" w:rsidRDefault="00000000" w:rsidRPr="00000000" w14:paraId="000002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Palm N.D., Getalo T.E. History of Ukrainian Culture: Textbook. Kharkiv: KhNEU Publishing House, 2013. 296 pp.</w:t>
      </w:r>
    </w:p>
    <w:p w:rsidR="00000000" w:rsidDel="00000000" w:rsidP="00000000" w:rsidRDefault="00000000" w:rsidRPr="00000000" w14:paraId="000002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Patryliak I.K. Between Two Abysses: Ukraine During World War II. Problems of World History. 2016. No. 1. Pp. 169-182.</w:t>
      </w:r>
    </w:p>
    <w:p w:rsidR="00000000" w:rsidDel="00000000" w:rsidP="00000000" w:rsidRDefault="00000000" w:rsidRPr="00000000" w14:paraId="000002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Snyder, T. Black Earth: The Holocaust as History and Warning. Translated from English by P. Bilak, O. Kamyshnikova, T. Rodionova / Scientific editor V. Sklokin. Kyiv: Meduza, 2017. 394 p.</w:t>
      </w:r>
    </w:p>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Snyder, T. The Reconstruction of Nations. Poland, Ukraine, Lithuania, Belarus, 1569-1999. Translated from English by A. Kotenko, O. Nadtochka.  Kyiv: Dukh i Litera, 2012. 624 p. </w:t>
      </w:r>
    </w:p>
    <w:p w:rsidR="00000000" w:rsidDel="00000000" w:rsidP="00000000" w:rsidRDefault="00000000" w:rsidRPr="00000000" w14:paraId="000002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Sokyrko O.G. Artillery of the Cossack State: Creation, Development, Internal Organization (1648–1781). Ukrainian Historical Journal. 2012. No. 4. P. 35-51.</w:t>
      </w:r>
    </w:p>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Sopko, O.I. The Manuscript Heritage of Transcarpathia as a Historical and Cultural Phenomenon of the 14th–19th Centuries. Scientific Bulletin of the Transcarpathian Art Institute. 2013. No. 3. Pp. 130–149.</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Hiroaki Kuromiya. Understanding Donbas. Kyiv: Dukh i Litera, 2015. 142 pp. </w:t>
      </w:r>
    </w:p>
    <w:p w:rsidR="00000000" w:rsidDel="00000000" w:rsidP="00000000" w:rsidRDefault="00000000" w:rsidRPr="00000000" w14:paraId="000002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Shishkin I.G. Western Ukraine in the strategic plans of the Home Army during World War II. Gileya: Scientific Bulletin. 2018. No. 130. Pp. 57–60.</w:t>
      </w:r>
    </w:p>
    <w:p w:rsidR="00000000" w:rsidDel="00000000" w:rsidP="00000000" w:rsidRDefault="00000000" w:rsidRPr="00000000" w14:paraId="000002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Shcherbak, V.O. Ukrainian Cossacks: Formation of a Social Status. Second Half of the 15th – Mid-17th Centuries. Kyiv: KM Academia Publishing House, 2000. 300 pp.</w:t>
      </w:r>
    </w:p>
    <w:p w:rsidR="00000000" w:rsidDel="00000000" w:rsidP="00000000" w:rsidRDefault="00000000" w:rsidRPr="00000000" w14:paraId="000002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Yaroslav Kit, Karl Schlögel. The Ukrainian Challenge: The Discovery of a European Country. Kyiv: Dukh i Litera, 2016. 356 pp.</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Information resources:</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of Ukrainian Poetry –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http://poetry.uazone.net/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“Culture of Ukraine” –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http://elib.nplu.org/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Institute of Contemporary Art Problems of the National Academy of Arts of Ukraine –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http://mari.kiev.ua/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Historical Library –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http://ukrhistory.narod.ru/</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Electronic Library of the Galician Division –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http://combatant.onestop.net/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Center for Holocaust Studies –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http://holocaust.kiev.ua/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Website of the Institute for Social Research – </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http://www.ukrterra.com.ua/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Encyclopedia of Ukrainian Cossacks – </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http://zsu.zp.ua/euk/</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sectPr>
      <w:headerReference r:id="rId17" w:type="default"/>
      <w:headerReference r:id="rId18" w:type="first"/>
      <w:pgSz w:h="16838" w:w="11906" w:orient="portrait"/>
      <w:pgMar w:bottom="1134" w:top="1134" w:left="1134" w:right="1134" w:header="709"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0">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сноски">
    <w:name w:val="Текст сноски"/>
    <w:basedOn w:val="Обычный"/>
    <w:next w:val="Текстсноски"/>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ТекстсноскиЗнак">
    <w:name w:val="Текст сноски Знак"/>
    <w:next w:val="ТекстсноскиЗнак"/>
    <w:autoRedefine w:val="0"/>
    <w:hidden w:val="0"/>
    <w:qFormat w:val="0"/>
    <w:rPr>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ижнийколонтитулЗнак">
    <w:name w:val="Нижний колонтитул Знак"/>
    <w:next w:val="НижнийколонтитулЗнак"/>
    <w:autoRedefine w:val="0"/>
    <w:hidden w:val="0"/>
    <w:qFormat w:val="0"/>
    <w:rPr>
      <w:w w:val="100"/>
      <w:position w:val="-1"/>
      <w:effect w:val="none"/>
      <w:vertAlign w:val="baseline"/>
      <w:cs w:val="0"/>
      <w:em w:val="none"/>
      <w:lang/>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character" w:styleId="whitespace-nowrap!">
    <w:name w:val="whitespace-nowrap!"/>
    <w:next w:val="whitespace-nowrap!"/>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ari.kiev.ua/" TargetMode="External"/><Relationship Id="rId10" Type="http://schemas.openxmlformats.org/officeDocument/2006/relationships/hyperlink" Target="http://elib.nplu.org/" TargetMode="External"/><Relationship Id="rId13" Type="http://schemas.openxmlformats.org/officeDocument/2006/relationships/hyperlink" Target="http://combatant.onestop.net/" TargetMode="External"/><Relationship Id="rId12" Type="http://schemas.openxmlformats.org/officeDocument/2006/relationships/hyperlink" Target="http://ukrhistory.narod.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oetry.uazone.net/" TargetMode="External"/><Relationship Id="rId15" Type="http://schemas.openxmlformats.org/officeDocument/2006/relationships/hyperlink" Target="http://www.ukrterra.com.ua/" TargetMode="External"/><Relationship Id="rId14" Type="http://schemas.openxmlformats.org/officeDocument/2006/relationships/hyperlink" Target="http://holocaust.kiev.ua/" TargetMode="External"/><Relationship Id="rId17" Type="http://schemas.openxmlformats.org/officeDocument/2006/relationships/header" Target="header2.xml"/><Relationship Id="rId16" Type="http://schemas.openxmlformats.org/officeDocument/2006/relationships/hyperlink" Target="http://zsu.zp.ua/eu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eb.archive.org/web/20180630192948/http://duh-i-litera.com/ukrajinskyj-vyklyk-vidkryttya-jevropejskoji-krajin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mtHKWOCPTY/soXHKER/3oYKi8g==">CgMxLjAyDmguY2k1b3NpczdsbTNjOAByITFUVmt0TUVjOGo4N0dLZE5scU1lZmtvcThWN2FRM1luYg==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2025-11-29T18:38:00Z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