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E847">
      <w:pPr>
        <w:spacing w:line="240" w:lineRule="auto"/>
        <w:ind w:right="-244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ПрАТ  «ВНЗ «МІЖРЕГІОНАЛЬНА АКАДЕМІЯ УПРАВЛІННЯ ПЕРСОНАЛОМ»</w:t>
      </w:r>
    </w:p>
    <w:p w14:paraId="1BEAD60B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1B222D5A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2A8DF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778517F3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47F4B42C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11B0CF3C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470ADCB4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</w:p>
    <w:p w14:paraId="06C1D02B">
      <w:pPr>
        <w:spacing w:before="240" w:after="60" w:line="240" w:lineRule="auto"/>
        <w:ind w:right="-5"/>
        <w:jc w:val="center"/>
        <w:textAlignment w:val="baseline"/>
        <w:rPr>
          <w:rFonts w:eastAsia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</w:rPr>
        <w:t>СИЛАБУС НАВЧАЛЬНОЇ ДИСЦИПЛІНИ</w:t>
      </w:r>
    </w:p>
    <w:p w14:paraId="545BAEE0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iCs/>
          <w:caps/>
          <w:sz w:val="32"/>
          <w:szCs w:val="32"/>
          <w:lang w:val="uk-UA"/>
        </w:rPr>
        <w:t>фінанси, гроші та кредит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»</w:t>
      </w:r>
    </w:p>
    <w:p w14:paraId="5C50BC7D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468A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205BDD94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Спеціальність:</w:t>
            </w:r>
          </w:p>
        </w:tc>
        <w:tc>
          <w:tcPr>
            <w:tcW w:w="6115" w:type="dxa"/>
          </w:tcPr>
          <w:p w14:paraId="7F504C41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D3 Менеджмент </w:t>
            </w:r>
          </w:p>
        </w:tc>
      </w:tr>
      <w:tr w14:paraId="49C3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461747EA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Освітній рівень:</w:t>
            </w:r>
          </w:p>
        </w:tc>
        <w:tc>
          <w:tcPr>
            <w:tcW w:w="6115" w:type="dxa"/>
          </w:tcPr>
          <w:p w14:paraId="062EBADF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перший (бакалаврський) рівень</w:t>
            </w:r>
          </w:p>
        </w:tc>
      </w:tr>
      <w:tr w14:paraId="3359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73173FED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Освітня програма:     </w:t>
            </w:r>
          </w:p>
        </w:tc>
        <w:tc>
          <w:tcPr>
            <w:tcW w:w="6115" w:type="dxa"/>
          </w:tcPr>
          <w:p w14:paraId="5DFC4E6C">
            <w:pPr>
              <w:ind w:right="-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Менеджмент</w:t>
            </w:r>
          </w:p>
        </w:tc>
      </w:tr>
    </w:tbl>
    <w:p w14:paraId="096A0D81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</w:p>
    <w:p w14:paraId="4494CEAD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</w:p>
    <w:p w14:paraId="1BC9A143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213C35B9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</w:p>
    <w:p w14:paraId="1DE5BE65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11C5E769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704B5BE4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</w:p>
    <w:p w14:paraId="1611353D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МАУП 2025</w:t>
      </w:r>
    </w:p>
    <w:p w14:paraId="2D341EEE">
      <w:pPr>
        <w:spacing w:line="240" w:lineRule="auto"/>
        <w:rPr>
          <w:rFonts w:ascii="Times New Roman" w:hAnsi="Times New Roman" w:eastAsia="Times New Roman" w:cs="Times New Roman"/>
          <w:lang w:val="uk-UA"/>
        </w:rPr>
      </w:pPr>
    </w:p>
    <w:p w14:paraId="75F217E2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38B2EA0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D6ECD01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1EBBA736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200A823C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4E32F370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6FBAD0F4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EF153A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інформація про навчальну дисципліну</w:t>
      </w:r>
    </w:p>
    <w:p w14:paraId="2B0E443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5583"/>
      </w:tblGrid>
      <w:tr w14:paraId="77A9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5D5AB1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Назва навчальної дисципліни</w:t>
            </w:r>
          </w:p>
        </w:tc>
        <w:tc>
          <w:tcPr>
            <w:tcW w:w="5668" w:type="dxa"/>
          </w:tcPr>
          <w:p w14:paraId="7B57F04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Фінанси, гроші та кредит</w:t>
            </w:r>
          </w:p>
        </w:tc>
      </w:tr>
      <w:tr w14:paraId="5CE2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2B0DCAC1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Шифр та назва спеціальності</w:t>
            </w:r>
          </w:p>
        </w:tc>
        <w:tc>
          <w:tcPr>
            <w:tcW w:w="5668" w:type="dxa"/>
          </w:tcPr>
          <w:p w14:paraId="4B281CB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D3 Менеджмент</w:t>
            </w:r>
          </w:p>
        </w:tc>
      </w:tr>
      <w:tr w14:paraId="1A71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73A503D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Рівень вищої освіти</w:t>
            </w:r>
          </w:p>
        </w:tc>
        <w:tc>
          <w:tcPr>
            <w:tcW w:w="5668" w:type="dxa"/>
          </w:tcPr>
          <w:p w14:paraId="1C91A4F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(бакалаврський) рівень вищої освіти</w:t>
            </w:r>
          </w:p>
        </w:tc>
      </w:tr>
      <w:tr w14:paraId="01F9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1ED2ADA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Статус дисципліни</w:t>
            </w:r>
          </w:p>
        </w:tc>
        <w:tc>
          <w:tcPr>
            <w:tcW w:w="5668" w:type="dxa"/>
          </w:tcPr>
          <w:p w14:paraId="135D6BB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</w:p>
        </w:tc>
      </w:tr>
      <w:tr w14:paraId="54ED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AA8CDF1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Кількість кредитів і годин</w:t>
            </w:r>
          </w:p>
        </w:tc>
        <w:tc>
          <w:tcPr>
            <w:tcW w:w="5668" w:type="dxa"/>
          </w:tcPr>
          <w:p w14:paraId="48F16D5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14:paraId="70FBBA4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Лекції: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14:paraId="0427222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 заняття: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14:paraId="6C56B1BF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Самостійна робота: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</w:tr>
      <w:tr w14:paraId="04FA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42A6ABE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Термін вивчення дисципліни</w:t>
            </w:r>
          </w:p>
        </w:tc>
        <w:tc>
          <w:tcPr>
            <w:tcW w:w="5668" w:type="dxa"/>
          </w:tcPr>
          <w:p w14:paraId="2A4DC7E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семестр</w:t>
            </w:r>
          </w:p>
        </w:tc>
      </w:tr>
      <w:tr w14:paraId="41F2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1F654850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Мова викладання</w:t>
            </w:r>
          </w:p>
        </w:tc>
        <w:tc>
          <w:tcPr>
            <w:tcW w:w="5668" w:type="dxa"/>
          </w:tcPr>
          <w:p w14:paraId="0B93D8D7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14:paraId="70EA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0DD71ACB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Вид підсумкового контролю</w:t>
            </w:r>
          </w:p>
        </w:tc>
        <w:tc>
          <w:tcPr>
            <w:tcW w:w="5668" w:type="dxa"/>
          </w:tcPr>
          <w:p w14:paraId="102B871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14:paraId="7827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01A5D064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Сторінка дисципліни на сайті</w:t>
            </w:r>
          </w:p>
        </w:tc>
        <w:tc>
          <w:tcPr>
            <w:tcW w:w="5668" w:type="dxa"/>
          </w:tcPr>
          <w:p w14:paraId="51384E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0B4D9A7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0E9EB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Загальна інформація про викладача. Контактна інформація </w:t>
      </w:r>
    </w:p>
    <w:p w14:paraId="3CEC3537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529"/>
      </w:tblGrid>
      <w:tr w14:paraId="54CB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4CC24B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14:paraId="79A2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E9E0B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5529" w:type="dxa"/>
          </w:tcPr>
          <w:p w14:paraId="603202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D25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5E8AD6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5529" w:type="dxa"/>
          </w:tcPr>
          <w:p w14:paraId="0F51B8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ED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2C2C714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5529" w:type="dxa"/>
          </w:tcPr>
          <w:p w14:paraId="400304B1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AE9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71ACFF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Дисципліни, які викладає НПП</w:t>
            </w:r>
          </w:p>
        </w:tc>
        <w:tc>
          <w:tcPr>
            <w:tcW w:w="5529" w:type="dxa"/>
          </w:tcPr>
          <w:p w14:paraId="6AA8DB12">
            <w:pPr>
              <w:widowControl w:val="0"/>
              <w:spacing w:line="240" w:lineRule="auto"/>
              <w:ind w:left="-4" w:right="9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8AF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C59039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Напрями наукових досліджень</w:t>
            </w:r>
          </w:p>
        </w:tc>
        <w:tc>
          <w:tcPr>
            <w:tcW w:w="5529" w:type="dxa"/>
          </w:tcPr>
          <w:p w14:paraId="4DEAEDC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D08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1A5752D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5529" w:type="dxa"/>
          </w:tcPr>
          <w:p w14:paraId="413F1B55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5AD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367AF24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Контактна інформація викладача:</w:t>
            </w:r>
          </w:p>
        </w:tc>
      </w:tr>
      <w:tr w14:paraId="25E1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FEACD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E-mail:</w:t>
            </w:r>
          </w:p>
        </w:tc>
        <w:tc>
          <w:tcPr>
            <w:tcW w:w="5529" w:type="dxa"/>
          </w:tcPr>
          <w:p w14:paraId="3DD16A2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C30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61E93B13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5529" w:type="dxa"/>
          </w:tcPr>
          <w:p w14:paraId="4B8C309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675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8FC3768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Портфоліо викладача на сайті кафедри</w:t>
            </w:r>
          </w:p>
        </w:tc>
        <w:tc>
          <w:tcPr>
            <w:tcW w:w="5529" w:type="dxa"/>
          </w:tcPr>
          <w:p w14:paraId="0EE65C7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31A796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AF5263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5F852C5">
      <w:pPr>
        <w:pStyle w:val="17"/>
        <w:spacing w:after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t xml:space="preserve">Анотація курсу. </w:t>
      </w:r>
      <w:r>
        <w:rPr>
          <w:rStyle w:val="30"/>
          <w:color w:val="000000"/>
          <w:sz w:val="28"/>
          <w:szCs w:val="28"/>
          <w:lang w:val="uk-UA" w:eastAsia="uk-UA"/>
        </w:rPr>
        <w:t xml:space="preserve">Навчальна дисципліна «Фінанси, гроші та кредит» </w:t>
      </w:r>
      <w:r>
        <w:rPr>
          <w:sz w:val="28"/>
          <w:szCs w:val="28"/>
          <w:lang w:val="uk-UA"/>
        </w:rPr>
        <w:t>спрямована на формування у здобувачів знань про</w:t>
      </w:r>
      <w:r>
        <w:rPr>
          <w:rStyle w:val="30"/>
          <w:color w:val="000000"/>
          <w:sz w:val="28"/>
          <w:szCs w:val="28"/>
          <w:lang w:val="uk-UA" w:eastAsia="uk-UA"/>
        </w:rPr>
        <w:t xml:space="preserve"> теоретико-методологічні та методичні основи</w:t>
      </w:r>
      <w:r>
        <w:rPr>
          <w:color w:val="000000"/>
          <w:sz w:val="28"/>
          <w:szCs w:val="28"/>
          <w:lang w:val="uk-UA" w:eastAsia="uk-UA"/>
        </w:rPr>
        <w:t xml:space="preserve"> р</w:t>
      </w:r>
      <w:r>
        <w:rPr>
          <w:rStyle w:val="30"/>
          <w:color w:val="000000"/>
          <w:sz w:val="28"/>
          <w:szCs w:val="28"/>
          <w:lang w:val="uk-UA" w:eastAsia="uk-UA"/>
        </w:rPr>
        <w:t>озвитку грошової системи і грошового обігу, фінансової, кредитної та валютної систем.</w:t>
      </w:r>
    </w:p>
    <w:p w14:paraId="428C08E3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 охоплює основні положення щодо</w:t>
      </w:r>
      <w:r>
        <w:rPr>
          <w:rStyle w:val="30"/>
          <w:color w:val="000000"/>
          <w:sz w:val="28"/>
          <w:szCs w:val="28"/>
          <w:lang w:val="uk-UA" w:eastAsia="uk-UA"/>
        </w:rPr>
        <w:t xml:space="preserve"> фінансових процесів, інформаційного забезпечення та вміння ефективно використовувати сучасний грошово-кредитний інструментарій у практичній діяльності менеджера</w:t>
      </w:r>
      <w:r>
        <w:rPr>
          <w:rFonts w:ascii="Times New Roman" w:hAnsi="Times New Roman" w:cs="Times New Roman"/>
          <w:sz w:val="28"/>
          <w:szCs w:val="28"/>
          <w:lang w:val="uk-UA"/>
        </w:rPr>
        <w:t>. Дисципліна включає вивчення</w:t>
      </w:r>
      <w:r>
        <w:rPr>
          <w:rStyle w:val="30"/>
          <w:color w:val="000000"/>
          <w:sz w:val="28"/>
          <w:szCs w:val="28"/>
          <w:lang w:val="uk-UA" w:eastAsia="uk-UA"/>
        </w:rPr>
        <w:t xml:space="preserve"> фінансів, грошей, грошового обігу, кредитних відносин, банківської системи України, принципів роботи банківських установ з клієнтами, валютних операцій, страхування, фінансового ринку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Style w:val="30"/>
          <w:color w:val="000000"/>
          <w:sz w:val="28"/>
          <w:szCs w:val="28"/>
          <w:lang w:val="uk-UA" w:eastAsia="uk-UA"/>
        </w:rPr>
        <w:t>Тому важливе місце в підготовці висококваліфікованих бакалаврів з менеджменту відводиться навчальній дисципліні «Фінанси, гроші та кредит».</w:t>
      </w:r>
    </w:p>
    <w:p w14:paraId="113DC495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Предмет вивчення навчальної дисципліни: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фінансова система, фінансовий механізм та грошово-кредитна система держави.</w:t>
      </w:r>
    </w:p>
    <w:p w14:paraId="09AB52FC">
      <w:pPr>
        <w:pStyle w:val="17"/>
        <w:spacing w:after="0"/>
        <w:rPr>
          <w:sz w:val="28"/>
          <w:szCs w:val="28"/>
          <w:lang w:val="uk-UA"/>
        </w:rPr>
      </w:pPr>
      <w:r>
        <w:rPr>
          <w:b/>
          <w:bCs/>
          <w:spacing w:val="2"/>
          <w:sz w:val="28"/>
          <w:szCs w:val="28"/>
          <w:lang w:val="uk-UA" w:eastAsia="uk-UA"/>
        </w:rPr>
        <w:t>Мета курсу:</w:t>
      </w:r>
      <w:r>
        <w:rPr>
          <w:spacing w:val="2"/>
          <w:sz w:val="28"/>
          <w:szCs w:val="28"/>
          <w:lang w:val="uk-UA" w:eastAsia="uk-UA"/>
        </w:rPr>
        <w:t xml:space="preserve"> забезпечення студентів системними знаннями </w:t>
      </w:r>
      <w:r>
        <w:rPr>
          <w:sz w:val="28"/>
          <w:szCs w:val="28"/>
          <w:lang w:val="uk-UA"/>
        </w:rPr>
        <w:t xml:space="preserve">щодо теоретико-методологічних засад і організаційно-правового механізму функціонування в ринковій економіці фінансів, грошей, кредиту та банків. </w:t>
      </w:r>
    </w:p>
    <w:p w14:paraId="0C9B52A2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  <w:lang w:val="uk-UA" w:eastAsia="uk-UA"/>
        </w:rPr>
        <w:t xml:space="preserve">Завдання навчальної дисципліни: </w:t>
      </w:r>
    </w:p>
    <w:p w14:paraId="3DBDD676">
      <w:pPr>
        <w:pStyle w:val="29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 w:eastAsia="uk-UA"/>
        </w:rPr>
        <w:t>Ознайомити студентів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фінансами як сукупністю грошових відносин, які пов’язані із формуванням, мобілізацією та розміщенням фінансових ресурсів, а також із </w:t>
      </w:r>
      <w:r>
        <w:rPr>
          <w:rFonts w:ascii="Times New Roman" w:hAnsi="Times New Roman" w:eastAsia="MS Mincho" w:cs="Times New Roman"/>
          <w:sz w:val="28"/>
          <w:szCs w:val="28"/>
          <w:lang w:val="uk-UA"/>
        </w:rPr>
        <w:t>сутністю, функціями та роллю грошей і кредиту.</w:t>
      </w:r>
    </w:p>
    <w:p w14:paraId="36D93CE4">
      <w:pPr>
        <w:pStyle w:val="29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Розвинути вміння аналізу</w:t>
      </w:r>
      <w:r>
        <w:rPr>
          <w:rFonts w:ascii="Times New Roman" w:hAnsi="Times New Roman" w:eastAsia="MS Mincho" w:cs="Times New Roman"/>
          <w:sz w:val="28"/>
          <w:szCs w:val="28"/>
        </w:rPr>
        <w:t xml:space="preserve"> закономірностей функціонування валютного ринку і валютної системи, грошового </w:t>
      </w:r>
      <w:r>
        <w:rPr>
          <w:rFonts w:ascii="Times New Roman" w:hAnsi="Times New Roman" w:eastAsia="MS Mincho" w:cs="Times New Roman"/>
          <w:sz w:val="28"/>
          <w:szCs w:val="28"/>
          <w:lang w:val="uk-UA"/>
        </w:rPr>
        <w:t xml:space="preserve"> та кредитного </w:t>
      </w:r>
      <w:r>
        <w:rPr>
          <w:rFonts w:ascii="Times New Roman" w:hAnsi="Times New Roman" w:eastAsia="MS Mincho" w:cs="Times New Roman"/>
          <w:sz w:val="28"/>
          <w:szCs w:val="28"/>
        </w:rPr>
        <w:t>ринк</w:t>
      </w:r>
      <w:r>
        <w:rPr>
          <w:rFonts w:ascii="Times New Roman" w:hAnsi="Times New Roman" w:eastAsia="MS Mincho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01D05E">
      <w:pPr>
        <w:pStyle w:val="29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Сформувати навички взаємодії з комерційними банками та страховими фірмами як у якості фізичних осіб, так і в якості представников юридичних осіб (підприємств і установ)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A38250">
      <w:pPr>
        <w:pStyle w:val="29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 w:eastAsia="uk-UA"/>
        </w:rPr>
        <w:t>Навчити студентів використовувати фінансові інструменти, працювати в системі безготівкових розрахунків, вести операції з готівкою.</w:t>
      </w:r>
    </w:p>
    <w:p w14:paraId="3ACAFA93">
      <w:pPr>
        <w:pStyle w:val="29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Набути практичних навичок щодо формування фінансової політики фірми</w:t>
      </w:r>
      <w:r>
        <w:rPr>
          <w:rFonts w:ascii="Times New Roman" w:hAnsi="Times New Roman" w:cs="Times New Roman"/>
          <w:spacing w:val="2"/>
          <w:sz w:val="28"/>
          <w:szCs w:val="28"/>
          <w:lang w:val="uk-UA" w:eastAsia="uk-UA"/>
        </w:rPr>
        <w:t>.</w:t>
      </w:r>
    </w:p>
    <w:p w14:paraId="17FBA622">
      <w:pPr>
        <w:pStyle w:val="29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Розвинути здатність до</w:t>
      </w:r>
      <w:bookmarkStart w:id="0" w:name="_Hlk186275768"/>
      <w:r>
        <w:rPr>
          <w:rFonts w:ascii="Times New Roman" w:hAnsi="Times New Roman" w:eastAsia="MS Mincho" w:cs="Times New Roman"/>
          <w:sz w:val="28"/>
          <w:szCs w:val="28"/>
          <w:lang w:val="uk-UA"/>
        </w:rPr>
        <w:t xml:space="preserve"> визначення показників грошової маси, грошової бази, грошово-кредитного мультиплікатора, рівня інфляції, індексу цін, показників валютних операцій комерційних банків, відкритої валютної позиції, тощо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2119D4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Пререквізити навчальної дисципліни: </w:t>
      </w:r>
    </w:p>
    <w:p w14:paraId="0CE8ABB1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Вивчення  навчальної дисципліни «</w:t>
      </w:r>
      <w:r>
        <w:rPr>
          <w:rStyle w:val="30"/>
          <w:color w:val="000000"/>
          <w:sz w:val="28"/>
          <w:szCs w:val="28"/>
          <w:lang w:val="uk-UA" w:eastAsia="uk-UA"/>
        </w:rPr>
        <w:t>Фінанси, гроші та кредит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 базується на знаннях та уміннях, отриманих здобувачами освіти при вивченні таких дисциплін:</w:t>
      </w:r>
      <w:bookmarkEnd w:id="0"/>
      <w:bookmarkStart w:id="1" w:name="_Hlk186275784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Правознавство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Статистика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>
        <w:rPr>
          <w:rFonts w:ascii="Times New Roman" w:hAnsi="Times New Roman"/>
          <w:sz w:val="28"/>
          <w:szCs w:val="28"/>
          <w:lang w:val="uk-UA"/>
        </w:rPr>
        <w:t>Цифрові технології в управлінні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>
        <w:rPr>
          <w:rFonts w:ascii="Times New Roman" w:hAnsi="Times New Roman"/>
          <w:sz w:val="28"/>
          <w:szCs w:val="28"/>
          <w:lang w:val="uk-UA"/>
        </w:rPr>
        <w:t>Економічна теорія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>
        <w:rPr>
          <w:rFonts w:ascii="Times New Roman" w:hAnsi="Times New Roman"/>
          <w:sz w:val="28"/>
          <w:szCs w:val="28"/>
          <w:lang w:val="uk-UA"/>
        </w:rPr>
        <w:t>Економіка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50F585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Постреквізити навчальної дисципліни:</w:t>
      </w:r>
    </w:p>
    <w:bookmarkEnd w:id="1"/>
    <w:p w14:paraId="48BC5CB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Здобуті знання, уміння та компетентності в рамках даної дисципліни є основою для професійної діяльності, самостійного навчання та подальшого розвитку.</w:t>
      </w:r>
    </w:p>
    <w:p w14:paraId="7D3EB0C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9108E4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Програмні компетентності: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3"/>
      </w:tblGrid>
      <w:tr w14:paraId="41C5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05" w:type="dxa"/>
          </w:tcPr>
          <w:p w14:paraId="3B2ECE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  <w:t>Загальні компетентності</w:t>
            </w:r>
          </w:p>
        </w:tc>
        <w:tc>
          <w:tcPr>
            <w:tcW w:w="7083" w:type="dxa"/>
          </w:tcPr>
          <w:p w14:paraId="0DA57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/>
                <w:spacing w:val="6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застосовувати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знання</w:t>
            </w:r>
            <w:r>
              <w:rPr>
                <w:rFonts w:ascii="Times New Roman" w:hAnsi="Times New Roman"/>
                <w:spacing w:val="6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практичних</w:t>
            </w:r>
            <w:r>
              <w:rPr>
                <w:rFonts w:ascii="Times New Roman" w:hAnsi="Times New Roman"/>
                <w:spacing w:val="6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ситуаціях</w:t>
            </w:r>
          </w:p>
          <w:p w14:paraId="1FE7B68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 xml:space="preserve">ЗК5. Знання та розуміння предметної області та розуміння професійної діяльності </w:t>
            </w:r>
          </w:p>
          <w:p w14:paraId="175271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9.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Здатність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вчитися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оволодівати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сучасними</w:t>
            </w:r>
            <w:r>
              <w:rPr>
                <w:rFonts w:ascii="Times New Roman" w:hAnsi="Times New Roman"/>
                <w:spacing w:val="5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знаннями.</w:t>
            </w:r>
          </w:p>
          <w:p w14:paraId="50DCCD8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uk-UA"/>
              </w:rPr>
              <w:t xml:space="preserve">ЗК11.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адаптації та дії в новій ситуації</w:t>
            </w:r>
          </w:p>
        </w:tc>
      </w:tr>
      <w:tr w14:paraId="2E73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35103B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  <w:t>Спеціальні компетентності</w:t>
            </w:r>
          </w:p>
        </w:tc>
        <w:tc>
          <w:tcPr>
            <w:tcW w:w="7083" w:type="dxa"/>
          </w:tcPr>
          <w:p w14:paraId="6608EF0E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СК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uk-UA"/>
              </w:rPr>
              <w:t>13.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Розуміти</w:t>
            </w:r>
            <w:r>
              <w:rPr>
                <w:rFonts w:ascii="Times New Roman" w:hAnsi="Times New Roman"/>
                <w:spacing w:val="18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принципи</w:t>
            </w:r>
            <w:r>
              <w:rPr>
                <w:rFonts w:ascii="Times New Roman" w:hAnsi="Times New Roman"/>
                <w:spacing w:val="18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pacing w:val="18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норми</w:t>
            </w:r>
            <w:r>
              <w:rPr>
                <w:rFonts w:ascii="Times New Roman" w:hAnsi="Times New Roman"/>
                <w:spacing w:val="19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права</w:t>
            </w:r>
            <w:r>
              <w:rPr>
                <w:rFonts w:ascii="Times New Roman" w:hAnsi="Times New Roman"/>
                <w:spacing w:val="18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/>
                <w:spacing w:val="18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</w:t>
            </w:r>
            <w:r>
              <w:rPr>
                <w:rFonts w:ascii="Times New Roman" w:hAnsi="Times New Roman"/>
                <w:spacing w:val="19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їх у професійній</w:t>
            </w:r>
            <w:r>
              <w:rPr>
                <w:rFonts w:ascii="Times New Roman" w:hAnsi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діяльності</w:t>
            </w:r>
          </w:p>
          <w:p w14:paraId="7FC7C8EB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СК17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Здатність самостійно виявляти проблеми економічного характеру та пропонувати способи їх вирішення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аналізу, прогнозування, планування та оптимізації в управлінні</w:t>
            </w:r>
          </w:p>
        </w:tc>
      </w:tr>
      <w:tr w14:paraId="6951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EA278B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</w:rPr>
              <w:t>Результати навчання</w:t>
            </w:r>
          </w:p>
        </w:tc>
        <w:tc>
          <w:tcPr>
            <w:tcW w:w="7083" w:type="dxa"/>
          </w:tcPr>
          <w:p w14:paraId="29FE891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РН11. Демонструвати</w:t>
            </w:r>
            <w:r>
              <w:rPr>
                <w:rFonts w:ascii="Times New Roman" w:hAnsi="Times New Roman"/>
                <w:spacing w:val="11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навички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аналізу</w:t>
            </w:r>
            <w:r>
              <w:rPr>
                <w:rFonts w:ascii="Times New Roman" w:hAnsi="Times New Roman"/>
                <w:spacing w:val="1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ситуації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здійснення</w:t>
            </w:r>
            <w:r>
              <w:rPr>
                <w:rFonts w:ascii="Times New Roman" w:hAnsi="Times New Roman"/>
                <w:spacing w:val="11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комунікації</w:t>
            </w:r>
            <w:r>
              <w:rPr>
                <w:rFonts w:ascii="Times New Roman" w:hAnsi="Times New Roman"/>
                <w:spacing w:val="12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pacing w:val="1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різних сферах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діяльності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організації.</w:t>
            </w:r>
          </w:p>
          <w:p w14:paraId="24DDBA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РН18.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Демонструвати навички аналізу результативності управління операційною, маркетинговою, зовнішньоекономічною діяльністю підприємства, обґрунтовувати напрями його перспективного розвитку для підготовки та представлення аналітичних звітів</w:t>
            </w:r>
          </w:p>
        </w:tc>
      </w:tr>
    </w:tbl>
    <w:p w14:paraId="6782231F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68A386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FA3711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Зміст навчальної дисципліни</w:t>
      </w:r>
    </w:p>
    <w:p w14:paraId="3C370BE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Style w:val="9"/>
        <w:tblpPr w:leftFromText="180" w:rightFromText="180" w:vertAnchor="text" w:tblpX="-374" w:tblpY="197"/>
        <w:tblOverlap w:val="never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34"/>
        <w:gridCol w:w="662"/>
        <w:gridCol w:w="662"/>
        <w:gridCol w:w="705"/>
        <w:gridCol w:w="2962"/>
      </w:tblGrid>
      <w:tr w14:paraId="564C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5065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3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9045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Назва теми</w:t>
            </w:r>
          </w:p>
        </w:tc>
        <w:tc>
          <w:tcPr>
            <w:tcW w:w="4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93D2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К-сть годин, з них:</w:t>
            </w:r>
          </w:p>
        </w:tc>
      </w:tr>
      <w:tr w14:paraId="30C1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E942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8E83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77F5F21B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Лекції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3155F0B1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Практичні заняття</w:t>
            </w:r>
          </w:p>
          <w:p w14:paraId="48FF8BF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0EA88DFF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Самостійна робота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2342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1C94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485B6E">
            <w:pPr>
              <w:suppressAutoHyphens/>
              <w:spacing w:line="240" w:lineRule="auto"/>
              <w:ind w:firstLine="450"/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3 семестр</w:t>
            </w:r>
          </w:p>
          <w:p w14:paraId="65E8339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Змістовний модуль 1. </w:t>
            </w:r>
            <w:r>
              <w:rPr>
                <w:rFonts w:ascii="Times New Roman" w:hAnsi="Times New Roman" w:cs="Times New Roman"/>
                <w:b/>
                <w:color w:val="auto"/>
                <w:szCs w:val="28"/>
                <w:lang w:val="uk-UA"/>
              </w:rPr>
              <w:t>Грошовий обіг та кредит</w:t>
            </w:r>
          </w:p>
        </w:tc>
        <w:tc>
          <w:tcPr>
            <w:tcW w:w="2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0F531D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Методи навчання: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словесні (навчальна лекція; бесіда; навчальна дискусія); індуктивний метод; дедуктивний метод; традуктивний метод; аналітичний; синтетичний; практичний (робота з фабулами юридичних справ); пояснювально-ілюстративний;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проєктно-дослідницький); кейс-метод.</w:t>
            </w:r>
          </w:p>
          <w:p w14:paraId="1EF448AB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Методи оцінювання: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реферати); 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14:paraId="0A93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45BA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1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C1D43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Теоретичні основи грошей: сутність, функції та роль в економіці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B4AC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60EAB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1A602D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E8806D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77B25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ABA7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0D49A">
            <w:pPr>
              <w:pStyle w:val="51"/>
              <w:autoSpaceDE w:val="0"/>
              <w:autoSpaceDN w:val="0"/>
              <w:adjustRightInd w:val="0"/>
              <w:ind w:left="0"/>
              <w:rPr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Style w:val="13"/>
                <w:b w:val="0"/>
                <w:bCs w:val="0"/>
                <w:color w:val="auto"/>
                <w:sz w:val="24"/>
                <w:szCs w:val="24"/>
                <w:lang w:val="uk-UA"/>
              </w:rPr>
              <w:t>Сутність, структура та механізми функціонування грошового обороту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029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5460C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12501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9693D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2875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CCA8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3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15A75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Грошовий ринок та грошова система: сутність, еволюція, особливості формування в Україні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7F8B3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4C955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0ADC5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B2C680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7EA4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0F9FF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4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38BD9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Теорія грошей: історичний розвиток та сучасні напрями досліджень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8C00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2A945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8AC83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2FDFAB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728F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3FE4B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5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F3107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Центральний банк та механізми державне регулювання грошового обороту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8B2B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7CB4E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34D2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69C3F7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2B6D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0A5C0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6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796844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Економічна природа та механізм функціонування кредиту. Кредитна система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A1A583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</w:tcBorders>
          </w:tcPr>
          <w:p w14:paraId="00575DE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</w:tcBorders>
          </w:tcPr>
          <w:p w14:paraId="32B9E2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3BA675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6D1E8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58C817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Змістовний модуль 2. Фінансова система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00D5F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09F4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2803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Тема 7 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CCF03">
            <w:pPr>
              <w:pStyle w:val="51"/>
              <w:autoSpaceDE w:val="0"/>
              <w:autoSpaceDN w:val="0"/>
              <w:adjustRightInd w:val="0"/>
              <w:ind w:left="0"/>
              <w:rPr>
                <w:bCs/>
                <w:color w:val="auto"/>
                <w:kern w:val="2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Сутність фінансів та склад фінансової системи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E7F8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203FC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3BA3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F41A3D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3FDC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DDC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8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D25B7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kern w:val="2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Державні фінанси та фінансова політика: взаємозв’язок і вплив на національну економіку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CC8D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223833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D2D0A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9C2FA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1D07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CCBC5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9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2072E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pacing w:val="-1"/>
                <w:sz w:val="24"/>
                <w:szCs w:val="24"/>
                <w:lang w:val="uk-UA"/>
              </w:rPr>
            </w:pPr>
            <w:r>
              <w:rPr>
                <w:iCs/>
                <w:color w:val="auto"/>
                <w:sz w:val="24"/>
                <w:szCs w:val="24"/>
                <w:lang w:val="uk-UA"/>
              </w:rPr>
              <w:t>Податкова система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A358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84FA6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87F4D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C90D1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6639C262">
        <w:trPr>
          <w:trHeight w:val="47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020B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10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3526">
            <w:pPr>
              <w:pStyle w:val="51"/>
              <w:autoSpaceDE w:val="0"/>
              <w:autoSpaceDN w:val="0"/>
              <w:adjustRightInd w:val="0"/>
              <w:ind w:left="0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Фінансовий ринок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7A16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D8123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40609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C63DB3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56C29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18F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11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0D29B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Послуги та операції комерційних банків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C643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FD7F0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FE07D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022C5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64934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C1AD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12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DF3A3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Страхування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865B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140657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43E2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5C64CA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1ADA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B2319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13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25E679">
            <w:pPr>
              <w:pStyle w:val="51"/>
              <w:autoSpaceDE w:val="0"/>
              <w:autoSpaceDN w:val="0"/>
              <w:adjustRightInd w:val="0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Валютний ринок. М</w:t>
            </w:r>
            <w:r>
              <w:rPr>
                <w:color w:val="auto"/>
                <w:sz w:val="24"/>
                <w:szCs w:val="24"/>
              </w:rPr>
              <w:t xml:space="preserve">іжнародні валютно-кредитні установи та форми їх співробітництва з </w:t>
            </w:r>
            <w:r>
              <w:rPr>
                <w:color w:val="auto"/>
                <w:sz w:val="24"/>
                <w:szCs w:val="24"/>
                <w:lang w:val="uk-UA"/>
              </w:rPr>
              <w:t>У</w:t>
            </w:r>
            <w:r>
              <w:rPr>
                <w:color w:val="auto"/>
                <w:sz w:val="24"/>
                <w:szCs w:val="24"/>
              </w:rPr>
              <w:t>країною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07574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</w:tcBorders>
          </w:tcPr>
          <w:p w14:paraId="4AACD6F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</w:tcBorders>
          </w:tcPr>
          <w:p w14:paraId="63BEAC0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4DBAF24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14:paraId="10EF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F1A4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Модульна контрольна робота </w:t>
            </w:r>
          </w:p>
        </w:tc>
      </w:tr>
      <w:tr w14:paraId="3CDE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C346A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3AD3D">
            <w:pPr>
              <w:suppressAutoHyphens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F9B1C3">
            <w:pPr>
              <w:suppressAutoHyphens/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254CF2">
            <w:pPr>
              <w:suppressAutoHyphens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5C838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14:paraId="56041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13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BB74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Форма контролю: екзамен</w:t>
            </w:r>
          </w:p>
        </w:tc>
      </w:tr>
    </w:tbl>
    <w:p w14:paraId="769FFA7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59199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Технічне обладнання та/або програмне забезпечення</w:t>
      </w:r>
    </w:p>
    <w:p w14:paraId="5F38D9F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</w:t>
      </w:r>
    </w:p>
    <w:p w14:paraId="230F3758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9CAF78C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Форми і методи контролю</w:t>
      </w:r>
    </w:p>
    <w:p w14:paraId="1A8781C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успішності здобувачів освіти поділяється на поточний і підсумковий (семестровий).</w:t>
      </w:r>
    </w:p>
    <w:p w14:paraId="5B89EFC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55BF97C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участі студентів у навчальному процесі, які підлягають поточному контролю:</w:t>
      </w:r>
    </w:p>
    <w:p w14:paraId="322D9C62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 з основного питання;</w:t>
      </w:r>
    </w:p>
    <w:p w14:paraId="1AD52A34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усна доповідь;</w:t>
      </w:r>
    </w:p>
    <w:p w14:paraId="7EC0D51E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доповнення, запитання до того, хто відповідає;</w:t>
      </w:r>
    </w:p>
    <w:p w14:paraId="46BCE3FF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систематичність роботи на семінарських заняттях, активність під час обговорення питань;</w:t>
      </w:r>
    </w:p>
    <w:p w14:paraId="57839077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у дискусіях, інтерактивних формах організації заняття;</w:t>
      </w:r>
    </w:p>
    <w:p w14:paraId="6D4A1578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законодавства та монографічної літератури;</w:t>
      </w:r>
    </w:p>
    <w:p w14:paraId="4E26A08B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письмові завдання (тестові, контрольні, творчі роботи, реферати тощо);</w:t>
      </w:r>
    </w:p>
    <w:p w14:paraId="3AE9C964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тез, конспектів навчальних або наукових текстів;</w:t>
      </w:r>
    </w:p>
    <w:p w14:paraId="35DFD373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самостійне опрацювання тем.</w:t>
      </w:r>
    </w:p>
    <w:p w14:paraId="66BFBF9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успішності здобувачів освіти поділяється на поточний і підсумковий.</w:t>
      </w:r>
    </w:p>
    <w:p w14:paraId="79A39AB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1473DA1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Система оцінювання та вимоги </w:t>
      </w:r>
    </w:p>
    <w:p w14:paraId="3B827C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розподілу балів, які отримують здобувачі вищої освіти*</w:t>
      </w:r>
    </w:p>
    <w:tbl>
      <w:tblPr>
        <w:tblStyle w:val="9"/>
        <w:tblW w:w="5185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8"/>
        <w:gridCol w:w="377"/>
        <w:gridCol w:w="374"/>
        <w:gridCol w:w="380"/>
        <w:gridCol w:w="374"/>
        <w:gridCol w:w="381"/>
        <w:gridCol w:w="343"/>
        <w:gridCol w:w="349"/>
        <w:gridCol w:w="343"/>
        <w:gridCol w:w="391"/>
        <w:gridCol w:w="431"/>
        <w:gridCol w:w="430"/>
        <w:gridCol w:w="430"/>
        <w:gridCol w:w="430"/>
        <w:gridCol w:w="1433"/>
        <w:gridCol w:w="1146"/>
        <w:gridCol w:w="1112"/>
        <w:gridCol w:w="12"/>
      </w:tblGrid>
      <w:tr w14:paraId="006429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EB18F1">
            <w:pPr>
              <w:pStyle w:val="48"/>
              <w:snapToGrid w:val="0"/>
              <w:jc w:val="both"/>
              <w:rPr>
                <w:lang w:val="uk-UA"/>
              </w:rPr>
            </w:pPr>
          </w:p>
        </w:tc>
        <w:tc>
          <w:tcPr>
            <w:tcW w:w="503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9EC2">
            <w:pPr>
              <w:pStyle w:val="48"/>
              <w:snapToGrid w:val="0"/>
              <w:jc w:val="center"/>
              <w:rPr>
                <w:b/>
                <w:bCs/>
                <w:lang w:val="uk-UA"/>
              </w:rPr>
            </w:pPr>
          </w:p>
          <w:p w14:paraId="7E5F3DB5">
            <w:pPr>
              <w:pStyle w:val="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 знань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CF42AA">
            <w:pPr>
              <w:pStyle w:val="48"/>
              <w:jc w:val="both"/>
            </w:pPr>
            <w:r>
              <w:rPr>
                <w:b/>
                <w:bCs/>
                <w:lang w:val="uk-UA"/>
              </w:rPr>
              <w:t xml:space="preserve">Модульна контрольна робота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3D3B9C">
            <w:pPr>
              <w:pStyle w:val="48"/>
              <w:jc w:val="both"/>
            </w:pPr>
            <w:r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4D74A">
            <w:pPr>
              <w:pStyle w:val="48"/>
              <w:jc w:val="both"/>
            </w:pPr>
            <w:r>
              <w:rPr>
                <w:b/>
                <w:bCs/>
                <w:lang w:val="uk-UA"/>
              </w:rPr>
              <w:t>Загальна кількість балів</w:t>
            </w:r>
          </w:p>
        </w:tc>
      </w:tr>
      <w:tr w14:paraId="6975AA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" w:type="dxa"/>
          <w:cantSplit/>
          <w:trHeight w:val="1134" w:hRule="atLeast"/>
        </w:trPr>
        <w:tc>
          <w:tcPr>
            <w:tcW w:w="1228" w:type="dxa"/>
            <w:tcBorders>
              <w:left w:val="single" w:color="000000" w:sz="4" w:space="0"/>
              <w:bottom w:val="single" w:color="000000" w:sz="4" w:space="0"/>
            </w:tcBorders>
          </w:tcPr>
          <w:p w14:paraId="1D94D6AB">
            <w:pPr>
              <w:pStyle w:val="48"/>
              <w:snapToGrid w:val="0"/>
              <w:jc w:val="both"/>
            </w:pPr>
            <w:r>
              <w:rPr>
                <w:lang w:val="uk-UA"/>
              </w:rPr>
              <w:t>Теми</w:t>
            </w:r>
          </w:p>
        </w:tc>
        <w:tc>
          <w:tcPr>
            <w:tcW w:w="377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1FC22D4">
            <w:pPr>
              <w:pStyle w:val="48"/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>Тема 1</w:t>
            </w:r>
          </w:p>
        </w:tc>
        <w:tc>
          <w:tcPr>
            <w:tcW w:w="37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0D11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2</w:t>
            </w:r>
          </w:p>
        </w:tc>
        <w:tc>
          <w:tcPr>
            <w:tcW w:w="380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14E5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3</w:t>
            </w:r>
          </w:p>
        </w:tc>
        <w:tc>
          <w:tcPr>
            <w:tcW w:w="37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6539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4</w:t>
            </w:r>
          </w:p>
        </w:tc>
        <w:tc>
          <w:tcPr>
            <w:tcW w:w="381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F93C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</w:t>
            </w:r>
          </w:p>
        </w:tc>
        <w:tc>
          <w:tcPr>
            <w:tcW w:w="343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26AA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6</w:t>
            </w:r>
          </w:p>
        </w:tc>
        <w:tc>
          <w:tcPr>
            <w:tcW w:w="34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10DD3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7</w:t>
            </w:r>
          </w:p>
        </w:tc>
        <w:tc>
          <w:tcPr>
            <w:tcW w:w="343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10D22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8</w:t>
            </w: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693A5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9</w:t>
            </w:r>
          </w:p>
        </w:tc>
        <w:tc>
          <w:tcPr>
            <w:tcW w:w="431" w:type="dxa"/>
            <w:tcBorders>
              <w:left w:val="single" w:color="auto" w:sz="4" w:space="0"/>
              <w:bottom w:val="single" w:color="000000" w:sz="4" w:space="0"/>
            </w:tcBorders>
            <w:textDirection w:val="btLr"/>
          </w:tcPr>
          <w:p w14:paraId="7E339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10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1B9DBD35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11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574C147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Тема 12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0D705F6B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Тема 13</w:t>
            </w:r>
          </w:p>
        </w:tc>
        <w:tc>
          <w:tcPr>
            <w:tcW w:w="1433" w:type="dxa"/>
            <w:vMerge w:val="restart"/>
            <w:tcBorders>
              <w:left w:val="single" w:color="000000" w:sz="4" w:space="0"/>
            </w:tcBorders>
          </w:tcPr>
          <w:p w14:paraId="2B093216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AD341E6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93C81B">
            <w:pPr>
              <w:snapToGrid w:val="0"/>
              <w:jc w:val="center"/>
              <w:rPr>
                <w:rFonts w:hint="default" w:ascii="Times New Roman" w:hAnsi="Times New Roman" w:cs="Times New Roman"/>
                <w:lang w:val="uk-UA"/>
              </w:rPr>
            </w:pPr>
            <w:r>
              <w:rPr>
                <w:rFonts w:hint="default"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146" w:type="dxa"/>
            <w:vMerge w:val="restart"/>
            <w:tcBorders>
              <w:left w:val="single" w:color="000000" w:sz="4" w:space="0"/>
            </w:tcBorders>
          </w:tcPr>
          <w:p w14:paraId="01708C74">
            <w:pPr>
              <w:pStyle w:val="48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55C8ED0B">
            <w:pPr>
              <w:pStyle w:val="48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183AB3F7">
            <w:pPr>
              <w:pStyle w:val="48"/>
              <w:snapToGrid w:val="0"/>
              <w:jc w:val="center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40</w:t>
            </w:r>
          </w:p>
        </w:tc>
        <w:tc>
          <w:tcPr>
            <w:tcW w:w="1112" w:type="dxa"/>
            <w:tcBorders>
              <w:left w:val="single" w:color="000000" w:sz="4" w:space="0"/>
              <w:right w:val="single" w:color="000000" w:sz="4" w:space="0"/>
            </w:tcBorders>
          </w:tcPr>
          <w:p w14:paraId="1F16B810">
            <w:pPr>
              <w:pStyle w:val="48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45A01388">
            <w:pPr>
              <w:pStyle w:val="48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14:paraId="291A1A74">
            <w:pPr>
              <w:pStyle w:val="4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14:paraId="3CDE2E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34" w:hRule="atLeast"/>
        </w:trPr>
        <w:tc>
          <w:tcPr>
            <w:tcW w:w="1228" w:type="dxa"/>
            <w:tcBorders>
              <w:left w:val="single" w:color="000000" w:sz="4" w:space="0"/>
              <w:bottom w:val="single" w:color="000000" w:sz="4" w:space="0"/>
            </w:tcBorders>
          </w:tcPr>
          <w:p w14:paraId="6207EEB5">
            <w:pPr>
              <w:pStyle w:val="48"/>
              <w:jc w:val="both"/>
            </w:pPr>
            <w:r>
              <w:rPr>
                <w:lang w:val="uk-UA"/>
              </w:rPr>
              <w:t>Робота на семінарському занятті</w:t>
            </w:r>
          </w:p>
        </w:tc>
        <w:tc>
          <w:tcPr>
            <w:tcW w:w="37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55D89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140" w:rightChars="0" w:firstLine="0" w:firstLineChars="0"/>
              <w:jc w:val="center"/>
              <w:rPr>
                <w:rFonts w:hint="default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  <w:tc>
          <w:tcPr>
            <w:tcW w:w="374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507A1E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140" w:rightChars="0" w:firstLine="0" w:firstLineChars="0"/>
              <w:jc w:val="center"/>
              <w:rPr>
                <w:rFonts w:hint="default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  <w:tc>
          <w:tcPr>
            <w:tcW w:w="3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7FABF0E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374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69808055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38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1C82DA6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34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78BFAF0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349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5026CDE3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34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BB5623D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886CA20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431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66051327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C9DCD">
            <w:pPr>
              <w:widowControl w:val="0"/>
              <w:spacing w:line="240" w:lineRule="auto"/>
              <w:ind w:right="140" w:rightChars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7F8A9">
            <w:pPr>
              <w:widowControl w:val="0"/>
              <w:spacing w:line="240" w:lineRule="auto"/>
              <w:ind w:right="140" w:rightChars="0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FEAB1F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3</w:t>
            </w:r>
          </w:p>
        </w:tc>
        <w:tc>
          <w:tcPr>
            <w:tcW w:w="1433" w:type="dxa"/>
            <w:vMerge w:val="continue"/>
            <w:tcBorders>
              <w:left w:val="single" w:color="000000" w:sz="4" w:space="0"/>
            </w:tcBorders>
          </w:tcPr>
          <w:p w14:paraId="6DF7A298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</w:tcPr>
          <w:p w14:paraId="5025955B">
            <w:pPr>
              <w:pStyle w:val="48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2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CDFB2E1">
            <w:pPr>
              <w:pStyle w:val="48"/>
              <w:snapToGrid w:val="0"/>
              <w:jc w:val="center"/>
              <w:rPr>
                <w:lang w:val="uk-UA"/>
              </w:rPr>
            </w:pPr>
          </w:p>
        </w:tc>
      </w:tr>
      <w:tr w14:paraId="583D2A4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" w:type="dxa"/>
          <w:trHeight w:val="435" w:hRule="atLeast"/>
        </w:trPr>
        <w:tc>
          <w:tcPr>
            <w:tcW w:w="1228" w:type="dxa"/>
            <w:tcBorders>
              <w:left w:val="single" w:color="000000" w:sz="4" w:space="0"/>
              <w:bottom w:val="single" w:color="000000" w:sz="4" w:space="0"/>
            </w:tcBorders>
          </w:tcPr>
          <w:p w14:paraId="329825D9">
            <w:pPr>
              <w:pStyle w:val="48"/>
              <w:jc w:val="both"/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377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1F0B9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140" w:rightChars="0" w:firstLine="0" w:firstLineChars="0"/>
              <w:jc w:val="center"/>
              <w:rPr>
                <w:rFonts w:hint="default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tcPr>
            <w:tcW w:w="37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B1750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140" w:righ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tcPr>
            <w:tcW w:w="38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88338BD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37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D247EF4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38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C273DBF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34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8787977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349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20D8A319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34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1F5B9E5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39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AE9486E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43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28C6D51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A8F9A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B6C89F">
            <w:pPr>
              <w:widowControl w:val="0"/>
              <w:spacing w:line="240" w:lineRule="auto"/>
              <w:ind w:right="140" w:rightChars="0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3ABE3">
            <w:pPr>
              <w:widowControl w:val="0"/>
              <w:spacing w:line="240" w:lineRule="auto"/>
              <w:ind w:right="14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3B95EBFF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018B7746">
            <w:pPr>
              <w:pStyle w:val="48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B5F8A">
            <w:pPr>
              <w:pStyle w:val="48"/>
              <w:snapToGrid w:val="0"/>
              <w:jc w:val="center"/>
              <w:rPr>
                <w:lang w:val="uk-UA"/>
              </w:rPr>
            </w:pPr>
          </w:p>
        </w:tc>
      </w:tr>
    </w:tbl>
    <w:p w14:paraId="3C6C7D8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bookmarkStart w:id="2" w:name="_Hlk186406350"/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Таблиця містити інформацію про максимальні бали за кожен вид навчальної роботи здобувача вищої освіти.</w:t>
      </w:r>
    </w:p>
    <w:p w14:paraId="098B55D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9EC8C0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5CE3F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Модульний контроль.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Модульна контрольна робота з навчальної дисципліни  «Фінанси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>, гроші та кредит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» проводиться на останньому занятті модуля у письмовій формі, у вигляді тес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тування, а саме, тести закритої форми: тест-альтернатива, тест-відповідність.</w:t>
      </w:r>
    </w:p>
    <w:p w14:paraId="42559B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Критерії оцінювання модульної контрольної роботи з навчальної дисципліни 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Фінанси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>, гроші та кредит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»:</w:t>
      </w:r>
    </w:p>
    <w:p w14:paraId="1C4C5E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при оцінюванні модульної контрольної роботи враховується обсяг і правильність виконаних завдань:</w:t>
      </w:r>
    </w:p>
    <w:p w14:paraId="520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eastAsia="uk-UA" w:bidi="uk-UA"/>
        </w:rPr>
      </w:pPr>
      <w:r>
        <w:rPr>
          <w:rFonts w:hint="default" w:ascii="Times New Roman" w:hAnsi="Times New Roman" w:cs="Times New Roman"/>
          <w:sz w:val="28"/>
          <w:szCs w:val="28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C735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32EACD7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«добре» (B) виставляється за виконання 80% всіх завдань;</w:t>
      </w:r>
    </w:p>
    <w:p w14:paraId="6B1B771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«добре» (C) виставляється за виконання 70% всіх завдань;</w:t>
      </w:r>
    </w:p>
    <w:p w14:paraId="424F1F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3D634EA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145A99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- оцінка «незадовільно» (FX) виставляється, якщо виконано менше 50% завдань.</w:t>
      </w:r>
    </w:p>
    <w:p w14:paraId="13AD9D2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Неявка на модульний тест - 0 балів.</w:t>
      </w:r>
    </w:p>
    <w:p w14:paraId="2C1532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Вищезазначені оцінки перетворюються на рейтингові бали таким чином:</w:t>
      </w:r>
    </w:p>
    <w:p w14:paraId="7878F4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«А» - 18-20 балів;</w:t>
      </w:r>
    </w:p>
    <w:p w14:paraId="50227E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«В» - 16-17 балів;</w:t>
      </w:r>
    </w:p>
    <w:p w14:paraId="4EE3F0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«С» - 14-15 балів;</w:t>
      </w:r>
    </w:p>
    <w:p w14:paraId="7F3223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«D» - 12-13 балів.</w:t>
      </w:r>
    </w:p>
    <w:p w14:paraId="51648BD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«E» - 10-11 балів;</w:t>
      </w:r>
    </w:p>
    <w:p w14:paraId="4EACFFF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«FX» - менше 10 балів.</w:t>
      </w:r>
    </w:p>
    <w:p w14:paraId="4E125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Підсумковий семестровий контроль з навчальної дисципліни «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Фінанси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>, гроші та кредит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63C1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371D1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Підсумковий контроль у вигляді екзамену складається з двох складових: </w:t>
      </w:r>
    </w:p>
    <w:p w14:paraId="633C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848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CD9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960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>Мінімальна сума, за якою екзамен вважається складеним – 25 балів.</w:t>
      </w:r>
    </w:p>
    <w:p w14:paraId="72C4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14D39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61065EC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Шкала оцінювання екзаменаційних завдань</w:t>
      </w:r>
    </w:p>
    <w:tbl>
      <w:tblPr>
        <w:tblStyle w:val="63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679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32BB3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8B570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6C5C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Критерії</w:t>
            </w:r>
          </w:p>
        </w:tc>
      </w:tr>
      <w:tr w14:paraId="0FC4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E23D9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Відмінн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925C34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2E31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7E55A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5208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6033F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43A42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309F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9F9A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Задовіль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F52AB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8252AF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16E3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43158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2E4FFE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BE1EB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01521219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</w:p>
    <w:p w14:paraId="2EBB42B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CD7F74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CFA41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14F60C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6B4CB6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3DDB191E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>Оцінка самостійної роботи</w:t>
      </w:r>
    </w:p>
    <w:p w14:paraId="620F9BF9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3FEE62E3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>Шкала оцінювання виконання самостійної роботи (індивідуальних завдань)критерії оцінювання.</w:t>
      </w:r>
    </w:p>
    <w:p w14:paraId="4D8CF50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tbl>
      <w:tblPr>
        <w:tblStyle w:val="64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4035BE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CF2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Рівень виконання</w:t>
            </w:r>
          </w:p>
        </w:tc>
      </w:tr>
      <w:tr w14:paraId="40EB3B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B18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9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866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C5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Незадовільно</w:t>
            </w:r>
          </w:p>
        </w:tc>
      </w:tr>
      <w:tr w14:paraId="555D39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846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26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B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8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2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0</w:t>
            </w:r>
          </w:p>
        </w:tc>
      </w:tr>
    </w:tbl>
    <w:p w14:paraId="69C7CB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</w:p>
    <w:p w14:paraId="7D9B64D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2D9B0D95">
      <w:pPr>
        <w:widowControl w:val="0"/>
        <w:rPr>
          <w:rFonts w:ascii="Courier New" w:hAnsi="Courier New" w:cs="Courier New"/>
          <w:sz w:val="2"/>
          <w:szCs w:val="2"/>
          <w:lang w:val="uk-UA"/>
        </w:rPr>
      </w:pPr>
    </w:p>
    <w:p w14:paraId="3064CB19">
      <w:pPr>
        <w:suppressAutoHyphens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25D039E0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Шкала підсумкового оцінювання: національна та ECTS</w:t>
      </w:r>
    </w:p>
    <w:tbl>
      <w:tblPr>
        <w:tblStyle w:val="9"/>
        <w:tblW w:w="95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66"/>
        <w:gridCol w:w="3326"/>
        <w:gridCol w:w="2977"/>
      </w:tblGrid>
      <w:tr w14:paraId="045AA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0491E44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01AF304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ЕСТ8</w:t>
            </w:r>
          </w:p>
        </w:tc>
        <w:tc>
          <w:tcPr>
            <w:tcW w:w="63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4E9B1E7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14:paraId="71E61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607DD0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6B6605C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D9B5999">
            <w:pPr>
              <w:suppressAutoHyphens/>
              <w:spacing w:after="120" w:line="240" w:lineRule="auto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BC93AE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заліку</w:t>
            </w:r>
          </w:p>
        </w:tc>
      </w:tr>
      <w:tr w14:paraId="4667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343B2F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7365FF6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C0C4837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E3B5CE3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14:paraId="7E0E1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AE1104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73A6322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5FA0C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4BAD1C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3556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E01BABF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75-81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3661E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FA960B6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FEFF34B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FD03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D8B7DB7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68-74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B62B11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431AB5B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087ABA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1DA60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2C67F5E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4112B9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1C11B2A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83BEAA8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8C89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51C8B4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3180E8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FХ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CF2A59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3C85DF0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14:paraId="04EE8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2F7CE2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7AC45C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6FD78B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0D291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4CC07423">
      <w:pPr>
        <w:suppressAutoHyphens/>
        <w:spacing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2"/>
    <w:p w14:paraId="0E344D91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Політика курсу</w:t>
      </w:r>
    </w:p>
    <w:p w14:paraId="079067E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успішного засвоєння курсу «</w:t>
      </w:r>
      <w:r>
        <w:rPr>
          <w:rStyle w:val="30"/>
          <w:color w:val="000000"/>
          <w:sz w:val="28"/>
          <w:szCs w:val="28"/>
          <w:lang w:val="uk-UA" w:eastAsia="uk-UA"/>
        </w:rPr>
        <w:t>Фінанси, гроші та кредит</w:t>
      </w:r>
      <w:r>
        <w:rPr>
          <w:rFonts w:ascii="Times New Roman" w:hAnsi="Times New Roman" w:cs="Times New Roman"/>
          <w:sz w:val="28"/>
          <w:szCs w:val="28"/>
          <w:lang w:val="uk-UA"/>
        </w:rPr>
        <w:t>» здобувач освіти має:</w:t>
      </w:r>
    </w:p>
    <w:p w14:paraId="49EED38C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регулярно відвідувати лекційні та практичні заняття;</w:t>
      </w:r>
    </w:p>
    <w:p w14:paraId="6A36786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систематично, системно й активно працювати на лекційних і практичних заняттях;</w:t>
      </w:r>
    </w:p>
    <w:p w14:paraId="46B5D96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відпрацьовувати пропущені заняття або незадовільні оцінки, отримані на заняттях;</w:t>
      </w:r>
    </w:p>
    <w:p w14:paraId="4961A03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414CB52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контрольні та інші самостійні роботи;</w:t>
      </w:r>
    </w:p>
    <w:p w14:paraId="36CF4C9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дотримуватися норм академічної поведінки та етики.</w:t>
      </w:r>
    </w:p>
    <w:p w14:paraId="49BA6DD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>
        <w:rPr>
          <w:rStyle w:val="30"/>
          <w:color w:val="000000"/>
          <w:sz w:val="28"/>
          <w:szCs w:val="28"/>
          <w:lang w:val="uk-UA" w:eastAsia="uk-UA"/>
        </w:rPr>
        <w:t>Фінанси, гроші та кредит</w:t>
      </w:r>
      <w:r>
        <w:rPr>
          <w:rFonts w:ascii="Times New Roman" w:hAnsi="Times New Roman" w:cs="Times New Roman"/>
          <w:sz w:val="28"/>
          <w:szCs w:val="28"/>
          <w:lang w:val="uk-UA"/>
        </w:rPr>
        <w:t>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101485E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(бонусні) бали (участь у круглих столах, наукових конференціях, олімпіадах та наукових конкурсах серед студентів).</w:t>
      </w:r>
    </w:p>
    <w:p w14:paraId="7E62D77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53D27">
      <w:pPr>
        <w:widowControl w:val="0"/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B7DDC8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Рекомендовані джерела інформації:</w:t>
      </w:r>
    </w:p>
    <w:p w14:paraId="75C4089C">
      <w:pPr>
        <w:widowControl w:val="0"/>
        <w:tabs>
          <w:tab w:val="left" w:pos="851"/>
        </w:tabs>
        <w:spacing w:line="239" w:lineRule="auto"/>
        <w:ind w:right="-54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8B496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Основні джерела:</w:t>
      </w:r>
    </w:p>
    <w:p w14:paraId="58FBC356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Гроші і кредит : підручник / В. Ю. Світлична ; Харків. нац. ун-т міськ. госп-ва ім. О. М. Бекетова. – Харків : ХНУМГ ім. О. М. Бекетова, 2020. – 191 с. URL: https://fpk.in.ua/images/biblioteka/2fmb_finansy/Hroshchi-ta-kredyt-2020.pdf</w:t>
      </w:r>
    </w:p>
    <w:p w14:paraId="3ECD1293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Гроші та кредит : навч. посібник / С. П. Стеценко, В. В. Титок, Н. В. Лисиця [та ін.]; Київ. нац. ун-т буд-ва і архіт. - Київ: КНУБА, 2024. - 227 с. URL: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"https://repositary.knuba.edu.ua/items/ba581483-d2be-44a5-a9b8-03cafdee1cd9" </w:instrText>
      </w:r>
      <w:r>
        <w:rPr>
          <w:color w:val="auto"/>
        </w:rPr>
        <w:fldChar w:fldCharType="separate"/>
      </w:r>
      <w:r>
        <w:rPr>
          <w:rStyle w:val="12"/>
          <w:rFonts w:ascii="Times New Roman" w:hAnsi="Times New Roman"/>
          <w:color w:val="auto"/>
          <w:sz w:val="28"/>
          <w:szCs w:val="28"/>
        </w:rPr>
        <w:t>https://repositary.knuba.edu.ua/items/ba581483-d2be-44a5-a9b8-03cafdee1cd9</w:t>
      </w:r>
      <w:r>
        <w:rPr>
          <w:rStyle w:val="12"/>
          <w:rFonts w:ascii="Times New Roman" w:hAnsi="Times New Roman"/>
          <w:color w:val="auto"/>
          <w:sz w:val="28"/>
          <w:szCs w:val="28"/>
        </w:rPr>
        <w:fldChar w:fldCharType="end"/>
      </w:r>
    </w:p>
    <w:p w14:paraId="068BAA4C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 Політило М.П., Хома І.Б., Чубка О.М., Ярошевич Н.Б., Якимів А.І. Фінанси, гроші та кредит.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Finance, money and credit: </w:t>
      </w:r>
      <w:r>
        <w:rPr>
          <w:rFonts w:ascii="Times New Roman" w:hAnsi="Times New Roman" w:cs="Times New Roman"/>
          <w:color w:val="auto"/>
          <w:sz w:val="28"/>
          <w:szCs w:val="28"/>
        </w:rPr>
        <w:t>навч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посібник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Львів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>Новий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світ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-2000. 2025. – 234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3710C9CD">
      <w:pPr>
        <w:pStyle w:val="20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Содома Р.І., Дубинецька П.П., Саміло А.В. Фінанси, гроші та кредит: теорія та практика (Finance, money and credit: theory and practice): навчальний посібник – Львів. ЛДУБЖД, 2024 – 624с.</w:t>
      </w:r>
    </w:p>
    <w:p w14:paraId="1A1A8D0D">
      <w:pPr>
        <w:pStyle w:val="20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  <w:shd w:val="clear" w:color="auto" w:fill="FFFFFF"/>
        </w:rPr>
        <w:t>Гроші та кредит : навчальний посібник / Н. Б. Ярошевич, І. Ю. Кондрат // Yaroshevych N. &amp; Kondrat I. (2025) Money and Credit. Tutorial. Novij Svit-2000, Lviv. 146 p.</w:t>
      </w:r>
    </w:p>
    <w:p w14:paraId="07A1DB75">
      <w:pPr>
        <w:widowControl w:val="0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4.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Суздалєва О. С. Гроші та кредит: навч. посібник. </w:t>
      </w:r>
      <w:r>
        <w:rPr>
          <w:rFonts w:ascii="Times New Roman" w:hAnsi="Times New Roman" w:cs="Times New Roman"/>
          <w:color w:val="auto"/>
          <w:sz w:val="28"/>
          <w:szCs w:val="28"/>
        </w:rPr>
        <w:t>Київ: МДУ, 2024. 169 с.</w:t>
      </w:r>
    </w:p>
    <w:p w14:paraId="676CBFAA">
      <w:pPr>
        <w:widowControl w:val="0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Гроші та кредит: навч. посіб./ С. П. Стеценко, В. В. Титок, Н.В. Лисиця [та ін.]. Київ: КНУБА, 2024. 227 с.</w:t>
      </w:r>
    </w:p>
    <w:p w14:paraId="28D7C576">
      <w:pPr>
        <w:pStyle w:val="20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Іванчук Н. В. Гроші і кредит: навчальний посібник. Острог: Видавництво Національного університету «Острозька академія», 2021. 332 с..</w:t>
      </w:r>
    </w:p>
    <w:p w14:paraId="565DDA32">
      <w:pPr>
        <w:pStyle w:val="53"/>
        <w:shd w:val="clear" w:color="auto" w:fill="FFFFFF"/>
        <w:spacing w:before="0" w:beforeAutospacing="0" w:after="0" w:afterAutospacing="0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8. Фінанси, банківська справа, страхування та фондовий ринок: навчальний посібник / Вахович І.М., Вахновська Н.А., Дорош В.Ю., Іщук Л.І., Коробчук Т.І., Кузьмак О.М., Ніколаєва А.М., Пиріг С.О., Поліщук В.Г., Чиж Н.М. Луцьк: ВІП ЛНТУ, 2024. 384 с.</w:t>
      </w:r>
    </w:p>
    <w:p w14:paraId="49B4705E">
      <w:pPr>
        <w:pStyle w:val="53"/>
        <w:shd w:val="clear" w:color="auto" w:fill="FFFFFF"/>
        <w:spacing w:before="0" w:beforeAutospacing="0" w:after="0" w:afterAutospacing="0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9. Bordo M.D., Levin A.T. Central Bank Digital Currency and the Future of Monetary Policy. – National Bureau of Economic Research Working Paper No. 23711. – Cambridge, MA: NBER, 2017. – 31 p. – URL: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"https://www.nber.org/papers/w23711" </w:instrText>
      </w:r>
      <w:r>
        <w:rPr>
          <w:color w:val="auto"/>
        </w:rPr>
        <w:fldChar w:fldCharType="separate"/>
      </w:r>
      <w:r>
        <w:rPr>
          <w:rStyle w:val="12"/>
          <w:color w:val="auto"/>
          <w:sz w:val="28"/>
          <w:szCs w:val="28"/>
          <w:lang w:val="uk-UA"/>
        </w:rPr>
        <w:t>https://www.nber.org/papers/w23711</w:t>
      </w:r>
      <w:r>
        <w:rPr>
          <w:rStyle w:val="12"/>
          <w:color w:val="auto"/>
          <w:sz w:val="28"/>
          <w:szCs w:val="28"/>
          <w:lang w:val="uk-UA"/>
        </w:rPr>
        <w:fldChar w:fldCharType="end"/>
      </w:r>
    </w:p>
    <w:p w14:paraId="7F6CBC80">
      <w:pPr>
        <w:pStyle w:val="53"/>
        <w:shd w:val="clear" w:color="auto" w:fill="FFFFFF"/>
        <w:spacing w:before="0" w:beforeAutospacing="0" w:after="0" w:afterAutospacing="0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10. Kendall S., Mitchell W., Wray L.R. Modern Monetary Theory and Practice: An Introductory Text. – London : Macmillan International, 2020. – 380 p.</w:t>
      </w:r>
    </w:p>
    <w:p w14:paraId="09887370">
      <w:pPr>
        <w:pStyle w:val="53"/>
        <w:shd w:val="clear" w:color="auto" w:fill="FFFFFF"/>
        <w:spacing w:before="0" w:beforeAutospacing="0" w:after="0" w:afterAutospacing="0"/>
        <w:ind w:firstLine="720"/>
        <w:jc w:val="both"/>
        <w:rPr>
          <w:color w:val="auto"/>
          <w:sz w:val="28"/>
          <w:szCs w:val="28"/>
          <w:lang w:val="uk-UA"/>
        </w:rPr>
      </w:pPr>
    </w:p>
    <w:p w14:paraId="76FD5A59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Додаткові джерела:</w:t>
      </w:r>
    </w:p>
    <w:p w14:paraId="0040D740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Брюховецька І., Кришталь Г. Державна політика щодо формування місцевих доходів у контексті соціально-економічного розвитку регіонів //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uk-UA"/>
        </w:rPr>
        <w:t>Наукові праці Міжрегіональної Академії управління персоналом. Політичні науки та публічне управління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. – 2023. – № 2 (68). – С. 12–16.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DOI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/>
        </w:rPr>
        <w:t>: 10.32689/2523-4625-2023-2(68)-2.</w:t>
      </w:r>
    </w:p>
    <w:p w14:paraId="5C37688C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Гуцаленко Л.В. Державний фінансовий контроль. 2-ге видання. Навч.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ос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ібник. Київ: Каравелла, 2019. 424 с.</w:t>
      </w:r>
    </w:p>
    <w:p w14:paraId="18D9B057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3. Карлін М. 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Державні фінанси розвинутих країн. Навч. посібник. Київ: Каравелла, 2019. 484 с.</w:t>
      </w:r>
    </w:p>
    <w:p w14:paraId="7DE34374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3. Г.О. Кришталь . Державне регулювання банківського сектору у забезпеченні соціально-економічного розвитку України: теорія, методологія, практика. Монографія. Київ. 2019. 411 с.</w:t>
      </w:r>
    </w:p>
    <w:p w14:paraId="689BEAEC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Кришталь Г.О. Фінансова безпека банківської системи України в умовах воєнного стану: класифікація можливих загроз //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>Management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>and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>Entrepreneurship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uk-UA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>Trends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>of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>Development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/>
        </w:rPr>
        <w:t>. – 2023. – Т. 4 (26). – С. 39–47.</w:t>
      </w:r>
    </w:p>
    <w:p w14:paraId="2F2DEF2B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Кришталь Г.О. Роль інструментів грошово-кредитної політики державного регулятора на кредитному ринку держави //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val="uk-UA"/>
        </w:rPr>
        <w:t>Наукові праці Міжрегіональної академії управління персоналом. Економічні науки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/>
        </w:rPr>
        <w:t>. – 2021. – № 1 (60). – С. 25–28.</w:t>
      </w:r>
    </w:p>
    <w:p w14:paraId="23AC1276">
      <w:pPr>
        <w:shd w:val="clear" w:color="auto" w:fill="FFFFFF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6. Колесников О.В.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Історія грошей та фінансів.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Навч. пос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ібник.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Київ: Каравелла, 2017. 180 с.</w:t>
      </w:r>
    </w:p>
    <w:p w14:paraId="00BD1B2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78A7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Інформаційні ресурси: </w:t>
      </w:r>
    </w:p>
    <w:p w14:paraId="0F172B1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Верховної Ради України URL : http://www.rada.gov.ua/</w:t>
      </w:r>
    </w:p>
    <w:p w14:paraId="06DD7B36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Кабінету Міністрів України URL : http://www.kmu.gov.ua/</w:t>
      </w:r>
    </w:p>
    <w:p w14:paraId="79CC764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Міністерства економіки України URL: http://www.me.gov.ua/</w:t>
      </w:r>
    </w:p>
    <w:p w14:paraId="33E222F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Міністерства фінансів України URL: http://www. minfin.kmu.gov.ua /</w:t>
      </w:r>
    </w:p>
    <w:p w14:paraId="0565095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Державної фіскальної служби України URL: http://sfs.gov.ua/</w:t>
      </w:r>
    </w:p>
    <w:p w14:paraId="1025439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Державної аудиторської служби України URL: http://www.dkrs.gov.ua/kru/uk/index</w:t>
      </w:r>
    </w:p>
    <w:p w14:paraId="009F265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Національного банку України URL: https://www.bank.gov.ua</w:t>
      </w:r>
    </w:p>
    <w:p w14:paraId="748F993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Державної служби статистики України URL: http://www.ukrstat.gov.ua/</w:t>
      </w:r>
    </w:p>
    <w:p w14:paraId="43F5041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Державної казначейської служби України URL: http://treasury.gov.ua/</w:t>
      </w:r>
    </w:p>
    <w:p w14:paraId="0B5051F1">
      <w:pPr>
        <w:widowControl w:val="0"/>
        <w:tabs>
          <w:tab w:val="left" w:pos="851"/>
        </w:tabs>
        <w:spacing w:line="239" w:lineRule="auto"/>
        <w:ind w:right="-54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Веб-сайт практичного журналу «Баланс» URL : http://balance.ua/</w:t>
      </w:r>
      <w:bookmarkStart w:id="3" w:name="_GoBack"/>
      <w:bookmarkEnd w:id="3"/>
    </w:p>
    <w:sectPr>
      <w:pgSz w:w="11906" w:h="16838"/>
      <w:pgMar w:top="1134" w:right="707" w:bottom="1134" w:left="1701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10468"/>
    <w:multiLevelType w:val="multilevel"/>
    <w:tmpl w:val="0D110468"/>
    <w:lvl w:ilvl="0" w:tentative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5AB64C6"/>
    <w:multiLevelType w:val="multilevel"/>
    <w:tmpl w:val="75AB64C6"/>
    <w:lvl w:ilvl="0" w:tentative="0">
      <w:start w:val="0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F6"/>
    <w:rsid w:val="00001E59"/>
    <w:rsid w:val="000032BB"/>
    <w:rsid w:val="000136A1"/>
    <w:rsid w:val="00014273"/>
    <w:rsid w:val="0001545C"/>
    <w:rsid w:val="00021B5E"/>
    <w:rsid w:val="00042B58"/>
    <w:rsid w:val="000539B1"/>
    <w:rsid w:val="0005525B"/>
    <w:rsid w:val="00073D17"/>
    <w:rsid w:val="000A6D4F"/>
    <w:rsid w:val="000B521C"/>
    <w:rsid w:val="000C1280"/>
    <w:rsid w:val="000F5463"/>
    <w:rsid w:val="001202BC"/>
    <w:rsid w:val="0014384B"/>
    <w:rsid w:val="00150AD5"/>
    <w:rsid w:val="001562D5"/>
    <w:rsid w:val="00185D3D"/>
    <w:rsid w:val="001A1EEA"/>
    <w:rsid w:val="001B5210"/>
    <w:rsid w:val="001D183B"/>
    <w:rsid w:val="001D54C1"/>
    <w:rsid w:val="001E0ABF"/>
    <w:rsid w:val="001E0B48"/>
    <w:rsid w:val="002164EE"/>
    <w:rsid w:val="0022361B"/>
    <w:rsid w:val="00232795"/>
    <w:rsid w:val="00236551"/>
    <w:rsid w:val="002421FD"/>
    <w:rsid w:val="00245D86"/>
    <w:rsid w:val="00253D3A"/>
    <w:rsid w:val="00271A4C"/>
    <w:rsid w:val="00280B14"/>
    <w:rsid w:val="002C3F86"/>
    <w:rsid w:val="002D7430"/>
    <w:rsid w:val="002F33F8"/>
    <w:rsid w:val="002F34EC"/>
    <w:rsid w:val="003006BB"/>
    <w:rsid w:val="00304DCA"/>
    <w:rsid w:val="00307C6F"/>
    <w:rsid w:val="0033381D"/>
    <w:rsid w:val="00345DDC"/>
    <w:rsid w:val="0034630F"/>
    <w:rsid w:val="00350786"/>
    <w:rsid w:val="0037736C"/>
    <w:rsid w:val="00395DDE"/>
    <w:rsid w:val="003A1493"/>
    <w:rsid w:val="003A74A2"/>
    <w:rsid w:val="003B0152"/>
    <w:rsid w:val="003B7301"/>
    <w:rsid w:val="003C487D"/>
    <w:rsid w:val="003E410D"/>
    <w:rsid w:val="003E4D33"/>
    <w:rsid w:val="003E5E6B"/>
    <w:rsid w:val="003F0CDC"/>
    <w:rsid w:val="003F36C2"/>
    <w:rsid w:val="00407090"/>
    <w:rsid w:val="0041235F"/>
    <w:rsid w:val="004140FF"/>
    <w:rsid w:val="00417057"/>
    <w:rsid w:val="004317CE"/>
    <w:rsid w:val="00434E90"/>
    <w:rsid w:val="00435C84"/>
    <w:rsid w:val="004422CD"/>
    <w:rsid w:val="00442910"/>
    <w:rsid w:val="00447502"/>
    <w:rsid w:val="00454263"/>
    <w:rsid w:val="00460AFB"/>
    <w:rsid w:val="004713F1"/>
    <w:rsid w:val="00473677"/>
    <w:rsid w:val="00486547"/>
    <w:rsid w:val="004964AB"/>
    <w:rsid w:val="004A21F7"/>
    <w:rsid w:val="004C74D5"/>
    <w:rsid w:val="00501FFB"/>
    <w:rsid w:val="00506CB0"/>
    <w:rsid w:val="0051199D"/>
    <w:rsid w:val="005152F5"/>
    <w:rsid w:val="00522579"/>
    <w:rsid w:val="00524C67"/>
    <w:rsid w:val="0052545E"/>
    <w:rsid w:val="00556B8F"/>
    <w:rsid w:val="00557605"/>
    <w:rsid w:val="00562875"/>
    <w:rsid w:val="00571DB4"/>
    <w:rsid w:val="0057789E"/>
    <w:rsid w:val="005B433F"/>
    <w:rsid w:val="005C28E4"/>
    <w:rsid w:val="005C4B7C"/>
    <w:rsid w:val="005E1378"/>
    <w:rsid w:val="005F21B5"/>
    <w:rsid w:val="005F6D74"/>
    <w:rsid w:val="006122D6"/>
    <w:rsid w:val="006353B2"/>
    <w:rsid w:val="0064189A"/>
    <w:rsid w:val="00642148"/>
    <w:rsid w:val="006548F5"/>
    <w:rsid w:val="006660F6"/>
    <w:rsid w:val="006668E2"/>
    <w:rsid w:val="00667CAF"/>
    <w:rsid w:val="00674E93"/>
    <w:rsid w:val="00675C10"/>
    <w:rsid w:val="006841B7"/>
    <w:rsid w:val="00684FCB"/>
    <w:rsid w:val="006A21A6"/>
    <w:rsid w:val="006C379F"/>
    <w:rsid w:val="006C6442"/>
    <w:rsid w:val="007127D4"/>
    <w:rsid w:val="00727F3D"/>
    <w:rsid w:val="00731D7C"/>
    <w:rsid w:val="007362F7"/>
    <w:rsid w:val="007417C6"/>
    <w:rsid w:val="00742F39"/>
    <w:rsid w:val="00750E6E"/>
    <w:rsid w:val="00765341"/>
    <w:rsid w:val="0076629D"/>
    <w:rsid w:val="00767A64"/>
    <w:rsid w:val="00774109"/>
    <w:rsid w:val="00774133"/>
    <w:rsid w:val="00790B66"/>
    <w:rsid w:val="007963E8"/>
    <w:rsid w:val="00796897"/>
    <w:rsid w:val="007A4080"/>
    <w:rsid w:val="007C7095"/>
    <w:rsid w:val="007D50CE"/>
    <w:rsid w:val="007E0AFB"/>
    <w:rsid w:val="008213F6"/>
    <w:rsid w:val="00825370"/>
    <w:rsid w:val="0083248B"/>
    <w:rsid w:val="0085564B"/>
    <w:rsid w:val="008576DE"/>
    <w:rsid w:val="00861BC6"/>
    <w:rsid w:val="0087021B"/>
    <w:rsid w:val="008877F1"/>
    <w:rsid w:val="00891161"/>
    <w:rsid w:val="008A0A81"/>
    <w:rsid w:val="008B1FF1"/>
    <w:rsid w:val="008B384C"/>
    <w:rsid w:val="008C0287"/>
    <w:rsid w:val="008C12EE"/>
    <w:rsid w:val="008C4320"/>
    <w:rsid w:val="008D7A99"/>
    <w:rsid w:val="00901C48"/>
    <w:rsid w:val="00932B0B"/>
    <w:rsid w:val="00945BD5"/>
    <w:rsid w:val="0095125A"/>
    <w:rsid w:val="00952306"/>
    <w:rsid w:val="00952B45"/>
    <w:rsid w:val="00957854"/>
    <w:rsid w:val="00961CAC"/>
    <w:rsid w:val="009701CB"/>
    <w:rsid w:val="00980F19"/>
    <w:rsid w:val="00981936"/>
    <w:rsid w:val="00982061"/>
    <w:rsid w:val="0098473E"/>
    <w:rsid w:val="00991774"/>
    <w:rsid w:val="00997C0B"/>
    <w:rsid w:val="009A1115"/>
    <w:rsid w:val="009A2D6E"/>
    <w:rsid w:val="009A5A64"/>
    <w:rsid w:val="009C0297"/>
    <w:rsid w:val="009C7D33"/>
    <w:rsid w:val="009E2524"/>
    <w:rsid w:val="009E4056"/>
    <w:rsid w:val="009F4206"/>
    <w:rsid w:val="009F6C2D"/>
    <w:rsid w:val="00A016BC"/>
    <w:rsid w:val="00A35128"/>
    <w:rsid w:val="00A36005"/>
    <w:rsid w:val="00A55F15"/>
    <w:rsid w:val="00A57700"/>
    <w:rsid w:val="00A579AF"/>
    <w:rsid w:val="00A6181F"/>
    <w:rsid w:val="00A66FB3"/>
    <w:rsid w:val="00A70D08"/>
    <w:rsid w:val="00A77BA1"/>
    <w:rsid w:val="00AA3AA4"/>
    <w:rsid w:val="00AA5F00"/>
    <w:rsid w:val="00AB01ED"/>
    <w:rsid w:val="00AB112E"/>
    <w:rsid w:val="00AD0673"/>
    <w:rsid w:val="00AD79BA"/>
    <w:rsid w:val="00AE0E67"/>
    <w:rsid w:val="00AF507C"/>
    <w:rsid w:val="00B121AF"/>
    <w:rsid w:val="00B13C7C"/>
    <w:rsid w:val="00B21686"/>
    <w:rsid w:val="00B239FD"/>
    <w:rsid w:val="00B407D7"/>
    <w:rsid w:val="00B47313"/>
    <w:rsid w:val="00B5481D"/>
    <w:rsid w:val="00B64F93"/>
    <w:rsid w:val="00B85B92"/>
    <w:rsid w:val="00B951EC"/>
    <w:rsid w:val="00B97A75"/>
    <w:rsid w:val="00BB1760"/>
    <w:rsid w:val="00BB25D6"/>
    <w:rsid w:val="00BC355C"/>
    <w:rsid w:val="00BE0151"/>
    <w:rsid w:val="00C11A71"/>
    <w:rsid w:val="00C14800"/>
    <w:rsid w:val="00C14ED2"/>
    <w:rsid w:val="00C172E2"/>
    <w:rsid w:val="00C1786B"/>
    <w:rsid w:val="00C321BC"/>
    <w:rsid w:val="00C417F5"/>
    <w:rsid w:val="00C50BE0"/>
    <w:rsid w:val="00C53F94"/>
    <w:rsid w:val="00C6584D"/>
    <w:rsid w:val="00C75FC8"/>
    <w:rsid w:val="00C83850"/>
    <w:rsid w:val="00C908F0"/>
    <w:rsid w:val="00CB4F70"/>
    <w:rsid w:val="00CB52ED"/>
    <w:rsid w:val="00CB7CC1"/>
    <w:rsid w:val="00CC2AAC"/>
    <w:rsid w:val="00CC4688"/>
    <w:rsid w:val="00D549C4"/>
    <w:rsid w:val="00D802DB"/>
    <w:rsid w:val="00D82FDC"/>
    <w:rsid w:val="00D959CD"/>
    <w:rsid w:val="00DA47FD"/>
    <w:rsid w:val="00DC6049"/>
    <w:rsid w:val="00DF618F"/>
    <w:rsid w:val="00E02C36"/>
    <w:rsid w:val="00E23BA1"/>
    <w:rsid w:val="00E24CB8"/>
    <w:rsid w:val="00E4421A"/>
    <w:rsid w:val="00E475B9"/>
    <w:rsid w:val="00E500E1"/>
    <w:rsid w:val="00E506B2"/>
    <w:rsid w:val="00E506C6"/>
    <w:rsid w:val="00E902B5"/>
    <w:rsid w:val="00E919FD"/>
    <w:rsid w:val="00E91F76"/>
    <w:rsid w:val="00EA2B2E"/>
    <w:rsid w:val="00EC056E"/>
    <w:rsid w:val="00ED0539"/>
    <w:rsid w:val="00ED1DFE"/>
    <w:rsid w:val="00EE3004"/>
    <w:rsid w:val="00F015E1"/>
    <w:rsid w:val="00F02A1C"/>
    <w:rsid w:val="00F112FA"/>
    <w:rsid w:val="00F6202E"/>
    <w:rsid w:val="00F8010B"/>
    <w:rsid w:val="00F8030F"/>
    <w:rsid w:val="00FD47A2"/>
    <w:rsid w:val="0D563962"/>
    <w:rsid w:val="18C710ED"/>
    <w:rsid w:val="2EF00A12"/>
    <w:rsid w:val="49A40B61"/>
    <w:rsid w:val="684257C1"/>
    <w:rsid w:val="706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spacing w:before="240" w:after="60" w:line="240" w:lineRule="auto"/>
      <w:ind w:firstLine="709"/>
      <w:jc w:val="both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4"/>
    <w:qFormat/>
    <w:uiPriority w:val="99"/>
    <w:pPr>
      <w:keepNext/>
      <w:spacing w:before="240" w:after="60" w:line="240" w:lineRule="auto"/>
      <w:ind w:firstLine="709"/>
      <w:jc w:val="both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40"/>
      <w:outlineLvl w:val="2"/>
    </w:pPr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5">
    <w:name w:val="heading 4"/>
    <w:basedOn w:val="1"/>
    <w:next w:val="1"/>
    <w:link w:val="26"/>
    <w:qFormat/>
    <w:uiPriority w:val="99"/>
    <w:pPr>
      <w:keepNext/>
      <w:keepLines/>
      <w:spacing w:before="40"/>
      <w:outlineLvl w:val="3"/>
    </w:pPr>
    <w:rPr>
      <w:rFonts w:ascii="Calibri Light" w:hAnsi="Calibri Light" w:eastAsia="Times New Roman" w:cs="Times New Roman"/>
      <w:i/>
      <w:iCs/>
      <w:color w:val="2F5496"/>
    </w:rPr>
  </w:style>
  <w:style w:type="paragraph" w:styleId="6">
    <w:name w:val="heading 5"/>
    <w:basedOn w:val="1"/>
    <w:next w:val="1"/>
    <w:link w:val="27"/>
    <w:qFormat/>
    <w:uiPriority w:val="99"/>
    <w:pPr>
      <w:keepNext/>
      <w:keepLines/>
      <w:spacing w:before="40"/>
      <w:outlineLvl w:val="4"/>
    </w:pPr>
    <w:rPr>
      <w:rFonts w:ascii="Calibri Light" w:hAnsi="Calibri Light" w:eastAsia="Times New Roman" w:cs="Times New Roman"/>
      <w:color w:val="2F5496"/>
    </w:rPr>
  </w:style>
  <w:style w:type="paragraph" w:styleId="7">
    <w:name w:val="heading 6"/>
    <w:basedOn w:val="1"/>
    <w:next w:val="1"/>
    <w:link w:val="28"/>
    <w:qFormat/>
    <w:uiPriority w:val="99"/>
    <w:pPr>
      <w:keepNext/>
      <w:keepLines/>
      <w:spacing w:before="40"/>
      <w:outlineLvl w:val="5"/>
    </w:pPr>
    <w:rPr>
      <w:rFonts w:ascii="Calibri Light" w:hAnsi="Calibri Light" w:eastAsia="Times New Roman" w:cs="Times New Roman"/>
      <w:color w:val="1F3763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99"/>
    <w:rPr>
      <w:rFonts w:cs="Times New Roman"/>
      <w:color w:val="954F72"/>
      <w:u w:val="single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styleId="13">
    <w:name w:val="Strong"/>
    <w:basedOn w:val="8"/>
    <w:qFormat/>
    <w:uiPriority w:val="22"/>
    <w:rPr>
      <w:rFonts w:cs="Times New Roman"/>
      <w:b/>
      <w:bCs/>
    </w:rPr>
  </w:style>
  <w:style w:type="paragraph" w:styleId="14">
    <w:name w:val="Balloon Text"/>
    <w:basedOn w:val="1"/>
    <w:link w:val="59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Document Map"/>
    <w:basedOn w:val="1"/>
    <w:link w:val="49"/>
    <w:semiHidden/>
    <w:qFormat/>
    <w:uiPriority w:val="99"/>
    <w:pPr>
      <w:shd w:val="clear" w:color="auto" w:fill="000080"/>
      <w:spacing w:line="240" w:lineRule="auto"/>
      <w:ind w:firstLine="709"/>
      <w:jc w:val="both"/>
    </w:pPr>
    <w:rPr>
      <w:rFonts w:ascii="Tahoma" w:hAnsi="Tahoma" w:cs="Tahoma"/>
      <w:sz w:val="20"/>
      <w:szCs w:val="20"/>
    </w:rPr>
  </w:style>
  <w:style w:type="paragraph" w:styleId="16">
    <w:name w:val="header"/>
    <w:basedOn w:val="1"/>
    <w:link w:val="45"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7">
    <w:name w:val="Body Text"/>
    <w:basedOn w:val="1"/>
    <w:link w:val="50"/>
    <w:uiPriority w:val="99"/>
    <w:pPr>
      <w:spacing w:after="12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8">
    <w:name w:val="Title"/>
    <w:basedOn w:val="1"/>
    <w:next w:val="1"/>
    <w:link w:val="39"/>
    <w:qFormat/>
    <w:uiPriority w:val="99"/>
    <w:pPr>
      <w:spacing w:line="240" w:lineRule="auto"/>
      <w:ind w:firstLine="709"/>
      <w:contextualSpacing/>
      <w:jc w:val="both"/>
    </w:pPr>
    <w:rPr>
      <w:rFonts w:cs="Times New Roman"/>
      <w:b/>
      <w:sz w:val="28"/>
      <w:szCs w:val="20"/>
      <w:lang w:eastAsia="ar-SA"/>
    </w:rPr>
  </w:style>
  <w:style w:type="paragraph" w:styleId="19">
    <w:name w:val="footer"/>
    <w:basedOn w:val="1"/>
    <w:link w:val="46"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20">
    <w:name w:val="Normal (Web)"/>
    <w:basedOn w:val="1"/>
    <w:uiPriority w:val="99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21">
    <w:name w:val="Subtitle"/>
    <w:basedOn w:val="1"/>
    <w:next w:val="1"/>
    <w:link w:val="38"/>
    <w:qFormat/>
    <w:uiPriority w:val="99"/>
    <w:pPr>
      <w:spacing w:after="160" w:line="240" w:lineRule="auto"/>
      <w:ind w:firstLine="709"/>
      <w:jc w:val="both"/>
    </w:pPr>
    <w:rPr>
      <w:rFonts w:eastAsia="Times New Roman" w:cs="Times New Roman"/>
      <w:color w:val="5A5A5A"/>
      <w:spacing w:val="15"/>
    </w:rPr>
  </w:style>
  <w:style w:type="table" w:styleId="22">
    <w:name w:val="Table Grid"/>
    <w:basedOn w:val="9"/>
    <w:qFormat/>
    <w:uiPriority w:val="39"/>
    <w:rPr>
      <w:kern w:val="2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Заголовок 1 Знак"/>
    <w:basedOn w:val="8"/>
    <w:link w:val="2"/>
    <w:qFormat/>
    <w:locked/>
    <w:uiPriority w:val="99"/>
    <w:rPr>
      <w:rFonts w:ascii="Calibri Light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4">
    <w:name w:val="Заголовок 2 Знак"/>
    <w:basedOn w:val="8"/>
    <w:link w:val="3"/>
    <w:semiHidden/>
    <w:qFormat/>
    <w:locked/>
    <w:uiPriority w:val="99"/>
    <w:rPr>
      <w:rFonts w:ascii="Calibri Light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25">
    <w:name w:val="Заголовок 3 Знак"/>
    <w:basedOn w:val="8"/>
    <w:link w:val="4"/>
    <w:qFormat/>
    <w:locked/>
    <w:uiPriority w:val="99"/>
    <w:rPr>
      <w:rFonts w:ascii="Calibri Light" w:hAnsi="Calibri Light" w:cs="Times New Roman"/>
      <w:color w:val="1F3763"/>
      <w:sz w:val="24"/>
      <w:szCs w:val="24"/>
      <w:lang w:val="ru-RU" w:eastAsia="ru-RU"/>
    </w:rPr>
  </w:style>
  <w:style w:type="character" w:customStyle="1" w:styleId="26">
    <w:name w:val="Заголовок 4 Знак"/>
    <w:basedOn w:val="8"/>
    <w:link w:val="5"/>
    <w:qFormat/>
    <w:locked/>
    <w:uiPriority w:val="99"/>
    <w:rPr>
      <w:rFonts w:ascii="Calibri Light" w:hAnsi="Calibri Light" w:cs="Times New Roman"/>
      <w:i/>
      <w:iCs/>
      <w:color w:val="2F5496"/>
      <w:lang w:val="ru-RU" w:eastAsia="ru-RU"/>
    </w:rPr>
  </w:style>
  <w:style w:type="character" w:customStyle="1" w:styleId="27">
    <w:name w:val="Заголовок 5 Знак"/>
    <w:basedOn w:val="8"/>
    <w:link w:val="6"/>
    <w:semiHidden/>
    <w:qFormat/>
    <w:locked/>
    <w:uiPriority w:val="99"/>
    <w:rPr>
      <w:rFonts w:ascii="Calibri Light" w:hAnsi="Calibri Light" w:cs="Times New Roman"/>
      <w:color w:val="2F5496"/>
      <w:lang w:val="ru-RU" w:eastAsia="ru-RU"/>
    </w:rPr>
  </w:style>
  <w:style w:type="character" w:customStyle="1" w:styleId="28">
    <w:name w:val="Заголовок 6 Знак"/>
    <w:basedOn w:val="8"/>
    <w:link w:val="7"/>
    <w:semiHidden/>
    <w:qFormat/>
    <w:locked/>
    <w:uiPriority w:val="99"/>
    <w:rPr>
      <w:rFonts w:ascii="Calibri Light" w:hAnsi="Calibri Light" w:cs="Times New Roman"/>
      <w:color w:val="1F3763"/>
      <w:lang w:val="ru-RU" w:eastAsia="ru-RU"/>
    </w:rPr>
  </w:style>
  <w:style w:type="paragraph" w:styleId="29">
    <w:name w:val="List Paragraph"/>
    <w:basedOn w:val="1"/>
    <w:qFormat/>
    <w:uiPriority w:val="99"/>
    <w:pPr>
      <w:ind w:left="720"/>
      <w:contextualSpacing/>
    </w:pPr>
  </w:style>
  <w:style w:type="character" w:customStyle="1" w:styleId="30">
    <w:name w:val="Основной текст_"/>
    <w:basedOn w:val="8"/>
    <w:link w:val="31"/>
    <w:qFormat/>
    <w:locked/>
    <w:uiPriority w:val="99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31">
    <w:name w:val="Основной текст5"/>
    <w:basedOn w:val="1"/>
    <w:link w:val="30"/>
    <w:qFormat/>
    <w:uiPriority w:val="99"/>
    <w:pPr>
      <w:widowControl w:val="0"/>
      <w:shd w:val="clear" w:color="auto" w:fill="FFFFFF"/>
      <w:spacing w:before="420" w:after="420" w:line="240" w:lineRule="atLeast"/>
      <w:ind w:hanging="40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32">
    <w:name w:val="Основной текст (3) + Не полужирный"/>
    <w:qFormat/>
    <w:uiPriority w:val="99"/>
    <w:rPr>
      <w:rFonts w:ascii="Arial Narrow" w:hAnsi="Arial Narrow"/>
      <w:b/>
      <w:spacing w:val="-3"/>
      <w:w w:val="100"/>
      <w:sz w:val="15"/>
      <w:shd w:val="clear" w:color="auto" w:fill="FFFFFF"/>
    </w:rPr>
  </w:style>
  <w:style w:type="paragraph" w:customStyle="1" w:styleId="33">
    <w:name w:val="Default"/>
    <w:qFormat/>
    <w:uiPriority w:val="99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34">
    <w:name w:val="Основной текст1"/>
    <w:basedOn w:val="1"/>
    <w:qFormat/>
    <w:uiPriority w:val="99"/>
    <w:pPr>
      <w:widowControl w:val="0"/>
      <w:spacing w:line="240" w:lineRule="auto"/>
    </w:pPr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character" w:customStyle="1" w:styleId="35">
    <w:name w:val="Основной текст (2)_"/>
    <w:link w:val="36"/>
    <w:locked/>
    <w:uiPriority w:val="99"/>
    <w:rPr>
      <w:rFonts w:ascii="Arial Narrow" w:hAnsi="Arial Narrow"/>
      <w:b/>
      <w:sz w:val="15"/>
      <w:shd w:val="clear" w:color="auto" w:fill="FFFFFF"/>
    </w:rPr>
  </w:style>
  <w:style w:type="paragraph" w:customStyle="1" w:styleId="36">
    <w:name w:val="Основной текст (2)"/>
    <w:basedOn w:val="1"/>
    <w:link w:val="35"/>
    <w:qFormat/>
    <w:uiPriority w:val="99"/>
    <w:pPr>
      <w:shd w:val="clear" w:color="auto" w:fill="FFFFFF"/>
      <w:spacing w:line="240" w:lineRule="atLeast"/>
      <w:ind w:firstLine="709"/>
      <w:jc w:val="both"/>
    </w:pPr>
    <w:rPr>
      <w:rFonts w:ascii="Arial Narrow" w:hAnsi="Arial Narrow" w:cs="Times New Roman"/>
      <w:b/>
      <w:sz w:val="15"/>
      <w:szCs w:val="20"/>
    </w:rPr>
  </w:style>
  <w:style w:type="character" w:customStyle="1" w:styleId="37">
    <w:name w:val="Title Char"/>
    <w:qFormat/>
    <w:locked/>
    <w:uiPriority w:val="99"/>
    <w:rPr>
      <w:b/>
      <w:sz w:val="28"/>
      <w:lang w:eastAsia="ar-SA" w:bidi="ar-SA"/>
    </w:rPr>
  </w:style>
  <w:style w:type="character" w:customStyle="1" w:styleId="38">
    <w:name w:val="Підзаголовок Знак"/>
    <w:basedOn w:val="8"/>
    <w:link w:val="21"/>
    <w:qFormat/>
    <w:locked/>
    <w:uiPriority w:val="99"/>
    <w:rPr>
      <w:rFonts w:eastAsia="Times New Roman" w:cs="Times New Roman"/>
      <w:color w:val="5A5A5A"/>
      <w:spacing w:val="15"/>
      <w:lang w:val="ru-RU" w:eastAsia="ru-RU"/>
    </w:rPr>
  </w:style>
  <w:style w:type="character" w:customStyle="1" w:styleId="39">
    <w:name w:val="Назва Знак"/>
    <w:basedOn w:val="8"/>
    <w:link w:val="18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Знак"/>
    <w:basedOn w:val="8"/>
    <w:qFormat/>
    <w:uiPriority w:val="99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41">
    <w:name w:val="Основной текст3"/>
    <w:basedOn w:val="30"/>
    <w:qFormat/>
    <w:uiPriority w:val="99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uk-UA"/>
    </w:rPr>
  </w:style>
  <w:style w:type="character" w:customStyle="1" w:styleId="42">
    <w:name w:val="Заголовок №1_"/>
    <w:basedOn w:val="8"/>
    <w:link w:val="43"/>
    <w:qFormat/>
    <w:locked/>
    <w:uiPriority w:val="99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43">
    <w:name w:val="Заголовок №1"/>
    <w:basedOn w:val="1"/>
    <w:link w:val="42"/>
    <w:qFormat/>
    <w:uiPriority w:val="99"/>
    <w:pPr>
      <w:widowControl w:val="0"/>
      <w:shd w:val="clear" w:color="auto" w:fill="FFFFFF"/>
      <w:spacing w:before="180" w:line="322" w:lineRule="exact"/>
      <w:ind w:hanging="400"/>
      <w:jc w:val="both"/>
      <w:outlineLvl w:val="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44">
    <w:name w:val="Неразрешенное упоминание1"/>
    <w:basedOn w:val="8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45">
    <w:name w:val="Верхній колонтитул Знак"/>
    <w:basedOn w:val="8"/>
    <w:link w:val="16"/>
    <w:qFormat/>
    <w:locked/>
    <w:uiPriority w:val="99"/>
    <w:rPr>
      <w:rFonts w:ascii="Calibri" w:hAnsi="Calibri" w:cs="Calibri"/>
      <w:lang w:val="ru-RU" w:eastAsia="ru-RU"/>
    </w:rPr>
  </w:style>
  <w:style w:type="character" w:customStyle="1" w:styleId="46">
    <w:name w:val="Нижній колонтитул Знак"/>
    <w:basedOn w:val="8"/>
    <w:link w:val="19"/>
    <w:qFormat/>
    <w:locked/>
    <w:uiPriority w:val="99"/>
    <w:rPr>
      <w:rFonts w:ascii="Calibri" w:hAnsi="Calibri" w:cs="Calibri"/>
      <w:lang w:val="ru-RU" w:eastAsia="ru-RU"/>
    </w:rPr>
  </w:style>
  <w:style w:type="character" w:customStyle="1" w:styleId="47">
    <w:name w:val="Неразрешенное упоминание2"/>
    <w:basedOn w:val="8"/>
    <w:semiHidden/>
    <w:qFormat/>
    <w:uiPriority w:val="99"/>
    <w:rPr>
      <w:rFonts w:cs="Times New Roman"/>
      <w:color w:val="605E5C"/>
      <w:shd w:val="clear" w:color="auto" w:fill="E1DFDD"/>
    </w:rPr>
  </w:style>
  <w:style w:type="paragraph" w:customStyle="1" w:styleId="48">
    <w:name w:val="Вміст таблиці"/>
    <w:basedOn w:val="1"/>
    <w:qFormat/>
    <w:uiPriority w:val="99"/>
    <w:pPr>
      <w:widowControl w:val="0"/>
      <w:suppressLineNumbers/>
      <w:suppressAutoHyphens/>
      <w:spacing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Схема документа Знак"/>
    <w:basedOn w:val="8"/>
    <w:link w:val="15"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50">
    <w:name w:val="Основний текст Знак"/>
    <w:basedOn w:val="8"/>
    <w:link w:val="17"/>
    <w:semiHidden/>
    <w:qFormat/>
    <w:locked/>
    <w:uiPriority w:val="99"/>
    <w:rPr>
      <w:rFonts w:cs="Calibri"/>
    </w:rPr>
  </w:style>
  <w:style w:type="paragraph" w:customStyle="1" w:styleId="51">
    <w:name w:val="Абзац списка1"/>
    <w:basedOn w:val="1"/>
    <w:qFormat/>
    <w:uiPriority w:val="99"/>
    <w:pPr>
      <w:spacing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52">
    <w:name w:val="spelle"/>
    <w:basedOn w:val="8"/>
    <w:qFormat/>
    <w:uiPriority w:val="99"/>
    <w:rPr>
      <w:rFonts w:cs="Times New Roman"/>
    </w:rPr>
  </w:style>
  <w:style w:type="paragraph" w:customStyle="1" w:styleId="53">
    <w:name w:val="msolistparagraph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4">
    <w:name w:val="default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55">
    <w:name w:val="Оглавление_"/>
    <w:link w:val="56"/>
    <w:qFormat/>
    <w:locked/>
    <w:uiPriority w:val="99"/>
    <w:rPr>
      <w:sz w:val="28"/>
      <w:shd w:val="clear" w:color="auto" w:fill="FFFFFF"/>
    </w:rPr>
  </w:style>
  <w:style w:type="paragraph" w:customStyle="1" w:styleId="56">
    <w:name w:val="Оглавление1"/>
    <w:basedOn w:val="1"/>
    <w:link w:val="55"/>
    <w:qFormat/>
    <w:uiPriority w:val="99"/>
    <w:pPr>
      <w:widowControl w:val="0"/>
      <w:shd w:val="clear" w:color="auto" w:fill="FFFFFF"/>
      <w:spacing w:after="300" w:line="317" w:lineRule="exact"/>
      <w:jc w:val="both"/>
    </w:pPr>
    <w:rPr>
      <w:rFonts w:cs="Times New Roman"/>
      <w:sz w:val="28"/>
      <w:szCs w:val="20"/>
      <w:shd w:val="clear" w:color="auto" w:fill="FFFFFF"/>
    </w:rPr>
  </w:style>
  <w:style w:type="paragraph" w:customStyle="1" w:styleId="57">
    <w:name w:val="Text body"/>
    <w:basedOn w:val="1"/>
    <w:qFormat/>
    <w:uiPriority w:val="99"/>
    <w:pPr>
      <w:suppressAutoHyphens/>
      <w:autoSpaceDN w:val="0"/>
      <w:spacing w:after="140" w:line="288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58">
    <w:name w:val="Незакрита згадка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Текст у виносці Знак"/>
    <w:basedOn w:val="8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6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1">
    <w:name w:val="_Style 70"/>
    <w:basedOn w:val="6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_Style 39"/>
    <w:basedOn w:val="6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_Style 40"/>
    <w:basedOn w:val="6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3146</Words>
  <Characters>17934</Characters>
  <Lines>149</Lines>
  <Paragraphs>42</Paragraphs>
  <TotalTime>1</TotalTime>
  <ScaleCrop>false</ScaleCrop>
  <LinksUpToDate>false</LinksUpToDate>
  <CharactersWithSpaces>21038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2025-11-18T08:00:00Z</dcterms:created>
  <dc:creator>Dmytro Polozhentsev</dc:creator>
  <cp:lastModifiedBy>sliepykh.kateryna</cp:lastModifiedBy>
  <dcterms:modified xsi:type="dcterms:W3CDTF">2026-01-21T13:57:13Z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fd7aedced3f2d0f4c42648035a8b68fb975a14789ee81299f1592df4b5f76f39</vt:lpwstr>
  </property>
  <property fmtid="{D5CDD505-2E9C-101B-9397-08002B2CF9AE}" pid="3" name="KSOProductBuildVer">
    <vt:lpwstr>1049-12.2.0.22549</vt:lpwstr>
  </property>
  <property fmtid="{D5CDD505-2E9C-101B-9397-08002B2CF9AE}" pid="4" name="ICV">
    <vt:lpwstr>C6C11419653D440183FC082EC58F5661_12</vt:lpwstr>
  </property>
</Properties>
</file>