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F9FC">
      <w:pPr>
        <w:ind w:right="-244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7D2ADD87">
      <w:pPr>
        <w:rPr>
          <w:color w:val="000000"/>
        </w:rPr>
      </w:pPr>
    </w:p>
    <w:p w14:paraId="217F634A">
      <w:pPr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F843">
      <w:pPr>
        <w:rPr>
          <w:color w:val="000000"/>
          <w:lang w:val="uk-UA"/>
        </w:rPr>
      </w:pPr>
    </w:p>
    <w:p w14:paraId="15A9405B">
      <w:pPr>
        <w:rPr>
          <w:color w:val="000000"/>
          <w:lang w:val="uk-UA"/>
        </w:rPr>
      </w:pPr>
    </w:p>
    <w:p w14:paraId="5876BE1F">
      <w:pPr>
        <w:rPr>
          <w:color w:val="000000"/>
          <w:lang w:val="uk-UA"/>
        </w:rPr>
      </w:pPr>
    </w:p>
    <w:p w14:paraId="31A1ACF4">
      <w:pPr>
        <w:rPr>
          <w:color w:val="000000"/>
          <w:lang w:val="uk-UA"/>
        </w:rPr>
      </w:pPr>
    </w:p>
    <w:p w14:paraId="1793800B">
      <w:pP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411D117A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СИЛАБУС НАВЧАЛЬНОЇ ДИСЦИПЛІНИ</w:t>
      </w:r>
    </w:p>
    <w:p w14:paraId="71A9A625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i/>
          <w:iCs/>
          <w:sz w:val="28"/>
          <w:szCs w:val="28"/>
          <w:lang w:val="uk-UA"/>
        </w:rPr>
        <w:t>HR-МЕНЕДЖМЕНТ</w:t>
      </w:r>
      <w:r>
        <w:rPr>
          <w:b/>
          <w:bCs/>
          <w:color w:val="000000"/>
          <w:sz w:val="28"/>
          <w:szCs w:val="28"/>
        </w:rPr>
        <w:t>»</w:t>
      </w:r>
    </w:p>
    <w:p w14:paraId="20D79558">
      <w:pPr>
        <w:spacing w:after="240"/>
        <w:rPr>
          <w:color w:val="000000"/>
        </w:rPr>
      </w:pP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4F27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35" w:type="dxa"/>
          </w:tcPr>
          <w:p w14:paraId="5E6BD709">
            <w:pPr>
              <w:spacing w:after="240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kern w:val="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1F556628">
            <w:pPr>
              <w:spacing w:after="240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68CA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780EDC2A">
            <w:pPr>
              <w:spacing w:after="240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kern w:val="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0DEC85DC">
            <w:pPr>
              <w:spacing w:after="240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6A5C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73A3106D">
            <w:pPr>
              <w:spacing w:after="240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kern w:val="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625B7501">
            <w:pPr>
              <w:ind w:right="-5"/>
              <w:jc w:val="both"/>
              <w:rPr>
                <w:rFonts w:asciiTheme="minorHAnsi" w:hAnsiTheme="minorHAnsi" w:eastAsiaTheme="minorHAnsi" w:cstheme="minorBidi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24D62254">
      <w:pPr>
        <w:spacing w:after="240" w:line="360" w:lineRule="auto"/>
        <w:rPr>
          <w:color w:val="000000"/>
        </w:rPr>
      </w:pPr>
    </w:p>
    <w:p w14:paraId="419D6F28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313C9446">
      <w:pPr>
        <w:spacing w:line="360" w:lineRule="auto"/>
        <w:rPr>
          <w:color w:val="000000"/>
        </w:rPr>
      </w:pPr>
    </w:p>
    <w:p w14:paraId="420C1994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</w:p>
    <w:p w14:paraId="29A4C998">
      <w:pPr>
        <w:spacing w:line="360" w:lineRule="auto"/>
        <w:rPr>
          <w:color w:val="000000"/>
        </w:rPr>
      </w:pPr>
    </w:p>
    <w:p w14:paraId="18138B05">
      <w:pPr>
        <w:spacing w:line="360" w:lineRule="auto"/>
        <w:rPr>
          <w:color w:val="000000"/>
        </w:rPr>
      </w:pPr>
    </w:p>
    <w:p w14:paraId="5192CB84">
      <w:pPr>
        <w:spacing w:after="240" w:line="360" w:lineRule="auto"/>
        <w:rPr>
          <w:color w:val="000000"/>
          <w:lang w:val="uk-UA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519CC581">
      <w:pPr>
        <w:spacing w:after="240" w:line="360" w:lineRule="auto"/>
        <w:rPr>
          <w:color w:val="000000"/>
          <w:lang w:val="uk-UA"/>
        </w:rPr>
      </w:pPr>
    </w:p>
    <w:p w14:paraId="0D2B30E5">
      <w:pPr>
        <w:spacing w:after="240" w:line="360" w:lineRule="auto"/>
        <w:rPr>
          <w:color w:val="000000"/>
          <w:lang w:val="uk-UA"/>
        </w:rPr>
      </w:pPr>
    </w:p>
    <w:p w14:paraId="276035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МАУП 2025</w:t>
      </w:r>
    </w:p>
    <w:p w14:paraId="5D7CF72A">
      <w:pPr>
        <w:suppressAutoHyphens w:val="0"/>
        <w:jc w:val="center"/>
        <w:rPr>
          <w:bCs/>
          <w:sz w:val="24"/>
          <w:szCs w:val="24"/>
          <w:lang w:val="uk-UA"/>
        </w:rPr>
      </w:pPr>
      <w:r>
        <w:rPr>
          <w:color w:val="000000"/>
          <w:sz w:val="28"/>
          <w:szCs w:val="28"/>
        </w:rPr>
        <w:br w:type="page"/>
      </w:r>
      <w:r>
        <w:rPr>
          <w:b/>
          <w:sz w:val="24"/>
          <w:szCs w:val="24"/>
          <w:lang w:val="uk-UA"/>
        </w:rPr>
        <w:t>Загальна інформація про навчальну дисципліну</w:t>
      </w:r>
    </w:p>
    <w:tbl>
      <w:tblPr>
        <w:tblStyle w:val="6"/>
        <w:tblpPr w:leftFromText="180" w:rightFromText="180" w:vertAnchor="text" w:tblpX="91" w:tblpY="293"/>
        <w:tblOverlap w:val="never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229"/>
      </w:tblGrid>
      <w:tr w14:paraId="10E5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2A9C2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F9B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HR-менеджмент</w:t>
            </w:r>
          </w:p>
        </w:tc>
      </w:tr>
      <w:tr w14:paraId="4DD4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22B32F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9C543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D3 Менеджмент</w:t>
            </w:r>
          </w:p>
        </w:tc>
      </w:tr>
      <w:tr w14:paraId="0F01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977CB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D48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14:paraId="4B66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F9F51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2327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обов'язкова</w:t>
            </w:r>
          </w:p>
        </w:tc>
      </w:tr>
      <w:tr w14:paraId="2CD4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D3F09E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C83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 кредити/90 год</w:t>
            </w:r>
          </w:p>
          <w:p w14:paraId="3F5023DC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Лекції: 20</w:t>
            </w:r>
          </w:p>
          <w:p w14:paraId="51766BDB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заняття</w:t>
            </w:r>
            <w:r>
              <w:rPr>
                <w:bCs/>
                <w:sz w:val="24"/>
                <w:szCs w:val="24"/>
                <w:lang w:val="uk-UA"/>
              </w:rPr>
              <w:t>: 14</w:t>
            </w:r>
          </w:p>
          <w:p w14:paraId="1F8DD834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 студентів: 56</w:t>
            </w:r>
          </w:p>
        </w:tc>
      </w:tr>
      <w:tr w14:paraId="49B9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B6E22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921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 семестр</w:t>
            </w:r>
          </w:p>
        </w:tc>
      </w:tr>
      <w:tr w14:paraId="2773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4532B8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D92E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14:paraId="368D0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38528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5245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14:paraId="32D3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69992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56E8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5DDC2C94">
      <w:pPr>
        <w:jc w:val="center"/>
        <w:rPr>
          <w:b/>
          <w:sz w:val="24"/>
          <w:szCs w:val="24"/>
          <w:lang w:val="uk-UA"/>
        </w:rPr>
      </w:pPr>
    </w:p>
    <w:p w14:paraId="439AC122">
      <w:pPr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викладача. Контактна інформація.</w:t>
      </w:r>
    </w:p>
    <w:tbl>
      <w:tblPr>
        <w:tblStyle w:val="6"/>
        <w:tblpPr w:leftFromText="180" w:rightFromText="180" w:vertAnchor="text" w:horzAnchor="page" w:tblpX="1201" w:tblpY="310"/>
        <w:tblOverlap w:val="never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229"/>
      </w:tblGrid>
      <w:tr w14:paraId="36D5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2CC98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14:paraId="7E94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888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0F1A1">
            <w:pPr>
              <w:jc w:val="both"/>
              <w:rPr>
                <w:spacing w:val="-4"/>
                <w:sz w:val="24"/>
                <w:szCs w:val="24"/>
                <w:lang w:val="uk-UA"/>
              </w:rPr>
            </w:pPr>
          </w:p>
        </w:tc>
      </w:tr>
      <w:tr w14:paraId="79F0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309F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7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9CF0A">
            <w:pPr>
              <w:jc w:val="both"/>
              <w:rPr>
                <w:spacing w:val="-4"/>
                <w:sz w:val="24"/>
                <w:szCs w:val="24"/>
                <w:lang w:val="uk-UA"/>
              </w:rPr>
            </w:pPr>
          </w:p>
        </w:tc>
      </w:tr>
      <w:tr w14:paraId="4D58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20F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D978C">
            <w:pPr>
              <w:jc w:val="both"/>
              <w:rPr>
                <w:spacing w:val="-4"/>
                <w:sz w:val="24"/>
                <w:szCs w:val="24"/>
                <w:lang w:val="uk-UA"/>
              </w:rPr>
            </w:pPr>
          </w:p>
        </w:tc>
      </w:tr>
      <w:tr w14:paraId="4C92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018A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154B8">
            <w:pPr>
              <w:jc w:val="both"/>
              <w:rPr>
                <w:spacing w:val="-4"/>
                <w:sz w:val="24"/>
                <w:szCs w:val="24"/>
                <w:highlight w:val="yellow"/>
                <w:lang w:val="uk-UA"/>
              </w:rPr>
            </w:pPr>
          </w:p>
        </w:tc>
      </w:tr>
      <w:tr w14:paraId="786D7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03F7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7546AB">
            <w:pPr>
              <w:jc w:val="both"/>
              <w:rPr>
                <w:spacing w:val="-4"/>
                <w:sz w:val="24"/>
                <w:szCs w:val="24"/>
                <w:highlight w:val="yellow"/>
                <w:lang w:val="uk-UA"/>
              </w:rPr>
            </w:pPr>
          </w:p>
        </w:tc>
      </w:tr>
      <w:tr w14:paraId="0D43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1F369">
            <w:pPr>
              <w:snapToGrid w:val="0"/>
              <w:jc w:val="both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2FC191D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FF624">
            <w:pPr>
              <w:pStyle w:val="19"/>
              <w:shd w:val="clear" w:color="auto" w:fill="FFFFFF"/>
              <w:spacing w:before="0" w:beforeAutospacing="0" w:after="0" w:afterAutospacing="0"/>
              <w:rPr>
                <w:color w:val="333333"/>
                <w:spacing w:val="-4"/>
                <w:lang w:val="uk-UA"/>
              </w:rPr>
            </w:pPr>
          </w:p>
        </w:tc>
      </w:tr>
      <w:tr w14:paraId="3BA8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3B3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Контактна інформація викладача:</w:t>
            </w:r>
          </w:p>
        </w:tc>
      </w:tr>
      <w:tr w14:paraId="03F1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4DB48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F20534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14:paraId="2289CE2A">
        <w:trPr>
          <w:trHeight w:val="320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725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7C93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14:paraId="396A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210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Телефон кафедри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39AC3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14:paraId="272C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4F93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Портфоліо викладача на сайті кафедри/Інституту/Академії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123E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51157EC">
      <w:pPr>
        <w:ind w:firstLine="450"/>
        <w:jc w:val="both"/>
        <w:rPr>
          <w:b/>
          <w:sz w:val="24"/>
          <w:szCs w:val="24"/>
          <w:lang w:val="uk-UA"/>
        </w:rPr>
      </w:pPr>
    </w:p>
    <w:p w14:paraId="4635C800">
      <w:pPr>
        <w:tabs>
          <w:tab w:val="left" w:pos="851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Анотація курсу.</w:t>
      </w:r>
      <w:r>
        <w:rPr>
          <w:sz w:val="24"/>
          <w:szCs w:val="24"/>
          <w:lang w:val="uk-UA"/>
        </w:rPr>
        <w:t xml:space="preserve"> Дисципліна «HR-менеджмент» спрямована на формування у студентів системи фундаментальних теоретичних знань і практичних навичок у галузі управління людськими ресурсами. У сучасних умовах концепція НR-менеджменту набуває ключового значення, оскільки вона ставить за ціль реалізацію інтересів не тільки організації, але й кожного працівника. Курс забезпечує освоєння основних HR-процесів, розуміння стратегічної ролі і функцій управління персоналом у бізнесі, а також формує цілісне бачення системи управління персоналом та її складових відповідно до провідних професійних стандартів.</w:t>
      </w:r>
    </w:p>
    <w:p w14:paraId="46E49DBC">
      <w:pPr>
        <w:tabs>
          <w:tab w:val="left" w:pos="851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Предметом вивчення навчальної дисципліни</w:t>
      </w:r>
      <w:r>
        <w:rPr>
          <w:sz w:val="24"/>
          <w:szCs w:val="24"/>
          <w:lang w:val="uk-UA"/>
        </w:rPr>
        <w:t xml:space="preserve"> є система теоретичних знань та практичних інструментів управління людськими ресурсами, що охоплює: місце HR-менеджменту в загальній структурі управління організацією; принципи формування HR-політики та методи кадрового планування; технології залучення персоналу та організацію діяльності HR-менеджерів; управління соціальними процесами, зокрема груповою динамікою колективу; процедури управління вивільненням персоналу; методи підвищення якості трудового життя працівників та критерії оцінки ефективності HR-менеджменту.</w:t>
      </w:r>
    </w:p>
    <w:p w14:paraId="36553C8E">
      <w:pPr>
        <w:tabs>
          <w:tab w:val="left" w:pos="851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Метою курсу</w:t>
      </w:r>
      <w:r>
        <w:rPr>
          <w:sz w:val="24"/>
          <w:szCs w:val="24"/>
          <w:lang w:val="uk-UA"/>
        </w:rPr>
        <w:t xml:space="preserve"> є формування професійних компетентностей, необхідних для ефективного управління людськими ресурсами сучасної організації., що включає засвоєння цілісного комплексу теоретичних знань про стратегічну роль HR та розвиток практичних навичок щодо розробки й реалізації кадрової політики, застосування технологій планування, залучення, розвитку та оцінки персоналу.</w:t>
      </w:r>
    </w:p>
    <w:p w14:paraId="6C0A78F5">
      <w:pPr>
        <w:tabs>
          <w:tab w:val="left" w:pos="851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Завдання навчальної дисципліни:</w:t>
      </w:r>
    </w:p>
    <w:p w14:paraId="7844227E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Визначити місце та стратегічну роль HR-менеджменту в загальній системі управління організацією.</w:t>
      </w:r>
    </w:p>
    <w:p w14:paraId="2ED98386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Проаналізувати HR-менеджмент як соціальну систему, розкрити його вплив на ефективність функціонування організації.</w:t>
      </w:r>
    </w:p>
    <w:p w14:paraId="7A424760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Розробити ключові елементи HR-політики відповідно до стратегічних цілей підприємства.</w:t>
      </w:r>
    </w:p>
    <w:p w14:paraId="7ECE8DD9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Здійснити планування потреби в персоналі на основі аналітичних і прогнозних даних.</w:t>
      </w:r>
    </w:p>
    <w:p w14:paraId="09098B29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Обґрунтувати вибір сучасних методик залучення та відбору персоналу для конкретного типу підприємства.</w:t>
      </w:r>
    </w:p>
    <w:p w14:paraId="2A5782ED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Структурувати діяльність HR-менеджерів, визначити її основні функції та напрями розвитку.</w:t>
      </w:r>
    </w:p>
    <w:p w14:paraId="2C2FFB76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Розробити модель компетенцій для певної посади відповідно до місії та цінностей організації.</w:t>
      </w:r>
    </w:p>
    <w:p w14:paraId="30194F90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Проаналізувати соціально-психологічний клімат у колективі та визначити шляхи його покращення.</w:t>
      </w:r>
    </w:p>
    <w:p w14:paraId="6A115209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Визначити чинники, що впливають на групову динаміку, та запропонувати заходи для підвищення командної ефективності.</w:t>
      </w:r>
    </w:p>
    <w:p w14:paraId="617EFD77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Оцінити рівень плинності персоналу та розробити стратегію її оптимізації.</w:t>
      </w:r>
    </w:p>
    <w:p w14:paraId="738733A4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Сформувати алгоритм організації процедури вивільнення персоналу з дотриманням етичних і правових норм.</w:t>
      </w:r>
    </w:p>
    <w:p w14:paraId="2FFD042C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Запропонувати заходи для підвищення якості трудового життя працівників і зміцнення корпоративної культури.</w:t>
      </w:r>
    </w:p>
    <w:p w14:paraId="08C3546B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Проаналізувати систему мотивації персоналу на підприємстві та запропонувати шляхи її удосконалення.</w:t>
      </w:r>
    </w:p>
    <w:p w14:paraId="10A065E1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Оцінити ефективність діяльності HR-менеджерів за допомогою кількісних та якісних показників.</w:t>
      </w:r>
    </w:p>
    <w:p w14:paraId="08B5703E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Розробити рекомендації щодо удосконалення комунікаційних процесів між HR-службою та іншими структурними підрозділами.</w:t>
      </w:r>
    </w:p>
    <w:p w14:paraId="6E32F0AA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Дослідити взаємозв’язок між HR-стратегією та загальною бізнес-стратегією організації.</w:t>
      </w:r>
    </w:p>
    <w:p w14:paraId="27C243C6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Проаналізувати вплив цифрових технологій на процеси управління персоналом.</w:t>
      </w:r>
    </w:p>
    <w:p w14:paraId="2FD47F63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Оцінити ефективність програм професійного навчання та розвитку персоналу.</w:t>
      </w:r>
    </w:p>
    <w:p w14:paraId="2D898316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Сформулювати підходи до управління талантами в умовах змінного ринку праці.</w:t>
      </w:r>
    </w:p>
    <w:p w14:paraId="4F20B5EF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Визначити методи оцінки результативності праці персоналу та розробити систему KPI для конкретної посади.</w:t>
      </w:r>
    </w:p>
    <w:p w14:paraId="50C990D4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Провести SWOT-аналіз HR-функції організації та визначити напрями її стратегічного вдосконалення.</w:t>
      </w:r>
    </w:p>
    <w:p w14:paraId="541C9150">
      <w:pPr>
        <w:pStyle w:val="1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Скласти рекомендації щодо формування інноваційної корпоративної культури, орієнтованої на розвиток людського потенціалу.</w:t>
      </w:r>
    </w:p>
    <w:p w14:paraId="0A2EC349">
      <w:pPr>
        <w:jc w:val="both"/>
        <w:rPr>
          <w:bCs/>
          <w:sz w:val="24"/>
          <w:szCs w:val="24"/>
        </w:rPr>
      </w:pPr>
    </w:p>
    <w:p w14:paraId="78D3ABBE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Пререквізити навчальної дисципліни. </w:t>
      </w:r>
      <w:r>
        <w:rPr>
          <w:sz w:val="24"/>
          <w:szCs w:val="24"/>
          <w:lang w:val="uk-UA"/>
        </w:rPr>
        <w:t>Вивчення дисципліни базується на знаннях, уміннях і навичках, які студенти отримали при вивченні попередньої дисципліни «Менеджмент організайції», «Управління бізнесом», «Управління персоналом», «Фінансовий менеджмент», «Зв’язки з громадськістю».</w:t>
      </w:r>
    </w:p>
    <w:p w14:paraId="1CB11602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Постреквізити навчальної дисципліни. </w:t>
      </w:r>
      <w:r>
        <w:rPr>
          <w:bCs/>
          <w:sz w:val="24"/>
          <w:szCs w:val="24"/>
          <w:lang w:val="uk-UA"/>
        </w:rPr>
        <w:t>Після завершення цієї дисципліни студенти повинні бути здатні здійснювати контроль за факторами впливу на формування поняття «НR менеджмент»;  здійснювати контроль за побудовою проектів розвитку персоналу; здійснювати контроль за плануванням та процедурою набору персоналу; моніторити результати проведених опитувань кандидатів; забезпечувати контроль за справедливим формування винагороди; забезпечувати контроль над плинністю кадрів; забезпечувати контроль за відсутністю конфліктних ситуації у колективі.</w:t>
      </w:r>
    </w:p>
    <w:p w14:paraId="257FEE97">
      <w:pPr>
        <w:ind w:firstLine="341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Навчальна дисципліна забезпечує формування студентами загальних і спеціальних компетентностей та набуття результатів навчання, визначених освітньо-професійною програмою «Менеджмент» а саме:</w:t>
      </w:r>
    </w:p>
    <w:p w14:paraId="55CA8DE0">
      <w:pPr>
        <w:ind w:firstLine="341"/>
        <w:jc w:val="both"/>
        <w:rPr>
          <w:b/>
          <w:sz w:val="24"/>
          <w:szCs w:val="24"/>
          <w:lang w:val="uk-UA"/>
        </w:rPr>
      </w:pPr>
    </w:p>
    <w:p w14:paraId="736D7315">
      <w:pPr>
        <w:ind w:firstLine="341"/>
        <w:jc w:val="both"/>
        <w:rPr>
          <w:i/>
          <w:i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Програмні компетентності</w:t>
      </w:r>
    </w:p>
    <w:p w14:paraId="6A01D4B6">
      <w:pPr>
        <w:ind w:firstLine="341"/>
        <w:jc w:val="both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 xml:space="preserve">Загальні компетентності: </w:t>
      </w:r>
    </w:p>
    <w:p w14:paraId="760F2F2A">
      <w:pPr>
        <w:ind w:firstLine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ЗК09. Здатність спілкуватися державною мовою як усно, так і письмово.</w:t>
      </w:r>
    </w:p>
    <w:p w14:paraId="454D48B0">
      <w:pPr>
        <w:ind w:firstLine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ЗК11. Навички використання сучасних інформаційних та комунікаційних</w:t>
      </w:r>
    </w:p>
    <w:p w14:paraId="1BCF7B0D">
      <w:pPr>
        <w:ind w:firstLine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технологій.</w:t>
      </w:r>
    </w:p>
    <w:p w14:paraId="5E2DCDD2">
      <w:pPr>
        <w:ind w:firstLine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ЗК12. Здатність діяти соціально відповідально та свідомо.</w:t>
      </w:r>
    </w:p>
    <w:p w14:paraId="46A84A6F">
      <w:pPr>
        <w:ind w:firstLine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ЗК13. Здатність проведення досліджень на відповідному рівні.</w:t>
      </w:r>
    </w:p>
    <w:p w14:paraId="1D37DE44">
      <w:pPr>
        <w:ind w:firstLine="341"/>
        <w:jc w:val="both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 xml:space="preserve">Спеціальні компетентності: </w:t>
      </w:r>
    </w:p>
    <w:p w14:paraId="7C064C60">
      <w:pPr>
        <w:ind w:left="341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rFonts w:hint="default"/>
          <w:iCs/>
          <w:sz w:val="24"/>
          <w:szCs w:val="24"/>
          <w:lang w:val="uk-UA"/>
        </w:rPr>
        <w:t xml:space="preserve"> </w:t>
      </w:r>
      <w:r>
        <w:rPr>
          <w:iCs/>
          <w:sz w:val="24"/>
          <w:szCs w:val="24"/>
          <w:lang w:val="uk-UA"/>
        </w:rPr>
        <w:t xml:space="preserve">5. Здатність проводити аналіз господарської діяльності підприємства та фінансовий аналіз з метою прийняття управлінських рішень. </w:t>
      </w:r>
    </w:p>
    <w:p w14:paraId="440E77C7">
      <w:pPr>
        <w:ind w:left="34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СК</w:t>
      </w:r>
      <w:r>
        <w:rPr>
          <w:iCs/>
          <w:sz w:val="24"/>
          <w:szCs w:val="24"/>
          <w:lang w:val="uk-UA"/>
        </w:rPr>
        <w:t xml:space="preserve"> </w:t>
      </w:r>
      <w:r>
        <w:rPr>
          <w:iCs/>
          <w:sz w:val="24"/>
          <w:szCs w:val="24"/>
        </w:rPr>
        <w:t xml:space="preserve">7. Здатність застосовувати методики проведення аудиту й послуг з надання впевненості. </w:t>
      </w:r>
    </w:p>
    <w:p w14:paraId="5B4685D4">
      <w:pPr>
        <w:ind w:left="34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СК</w:t>
      </w:r>
      <w:r>
        <w:rPr>
          <w:iCs/>
          <w:sz w:val="24"/>
          <w:szCs w:val="24"/>
          <w:lang w:val="uk-UA"/>
        </w:rPr>
        <w:t xml:space="preserve"> </w:t>
      </w:r>
      <w:r>
        <w:rPr>
          <w:iCs/>
          <w:sz w:val="24"/>
          <w:szCs w:val="24"/>
        </w:rPr>
        <w:t xml:space="preserve">9. Здатність здійснювати зовнішній та внутрішній контроль діяльності підприємства та дотримання ним законодавства з бухгалтерського обліку і оподаткування. </w:t>
      </w:r>
    </w:p>
    <w:p w14:paraId="146034AA">
      <w:pPr>
        <w:ind w:left="34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СК10. Здатність застосовувати етичні принципи під час виконання професійних обов’язків.</w:t>
      </w:r>
    </w:p>
    <w:p w14:paraId="70966612">
      <w:pPr>
        <w:ind w:left="3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 14. Розуміти принципи психології та використовувати їх у професійній діяльності</w:t>
      </w:r>
    </w:p>
    <w:p w14:paraId="6C72E606">
      <w:pPr>
        <w:ind w:left="341"/>
        <w:jc w:val="both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СК 15. </w:t>
      </w:r>
      <w:r>
        <w:rPr>
          <w:sz w:val="24"/>
          <w:szCs w:val="24"/>
          <w:lang w:val="uk-UA"/>
        </w:rPr>
        <w:t xml:space="preserve">Здатність формувати та демонструвати лідерські якості та поведінкові навички </w:t>
      </w:r>
      <w:r>
        <w:rPr>
          <w:b/>
          <w:sz w:val="24"/>
          <w:szCs w:val="24"/>
          <w:lang w:val="uk-UA"/>
        </w:rPr>
        <w:t>Програмні результати навчання</w:t>
      </w:r>
    </w:p>
    <w:p w14:paraId="2343C4D2">
      <w:pPr>
        <w:ind w:left="34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РН 9. </w:t>
      </w:r>
      <w:r>
        <w:rPr>
          <w:color w:val="000000"/>
          <w:sz w:val="24"/>
          <w:szCs w:val="24"/>
          <w:lang w:val="uk-UA"/>
        </w:rPr>
        <w:t>Демонструвати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навички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взаємодії,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лідерства,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командної</w:t>
      </w:r>
      <w:r>
        <w:rPr>
          <w:spacing w:val="12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роботи.</w:t>
      </w:r>
    </w:p>
    <w:p w14:paraId="715C79D7">
      <w:pPr>
        <w:ind w:left="341"/>
        <w:jc w:val="both"/>
        <w:rPr>
          <w:color w:val="000000"/>
          <w:spacing w:val="-1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</w:t>
      </w:r>
      <w:r>
        <w:rPr>
          <w:color w:val="000000"/>
          <w:spacing w:val="4"/>
          <w:sz w:val="24"/>
          <w:szCs w:val="24"/>
          <w:lang w:val="uk-UA"/>
        </w:rPr>
        <w:t xml:space="preserve">10. </w:t>
      </w:r>
      <w:r>
        <w:rPr>
          <w:color w:val="000000"/>
          <w:spacing w:val="5"/>
          <w:sz w:val="24"/>
          <w:szCs w:val="24"/>
          <w:lang w:val="uk-UA"/>
        </w:rPr>
        <w:t>Мати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5"/>
          <w:sz w:val="24"/>
          <w:szCs w:val="24"/>
          <w:lang w:val="uk-UA"/>
        </w:rPr>
        <w:t>навички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обґрунтування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6"/>
          <w:sz w:val="24"/>
          <w:szCs w:val="24"/>
          <w:lang w:val="uk-UA"/>
        </w:rPr>
        <w:t>дієвих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інструментів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5"/>
          <w:sz w:val="24"/>
          <w:szCs w:val="24"/>
          <w:lang w:val="uk-UA"/>
        </w:rPr>
        <w:t>мотивування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 xml:space="preserve">персоналу </w:t>
      </w:r>
      <w:r>
        <w:rPr>
          <w:color w:val="000000"/>
          <w:sz w:val="24"/>
          <w:szCs w:val="24"/>
          <w:lang w:val="uk-UA"/>
        </w:rPr>
        <w:t>організації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14:paraId="606C5824">
      <w:pPr>
        <w:ind w:left="34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РН 14. </w:t>
      </w:r>
      <w:r>
        <w:rPr>
          <w:color w:val="000000"/>
          <w:sz w:val="24"/>
          <w:szCs w:val="24"/>
          <w:lang w:val="uk-UA"/>
        </w:rPr>
        <w:t>Ідентифікувати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причини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стресу,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адаптувати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себе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та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членів</w:t>
      </w:r>
      <w:r>
        <w:rPr>
          <w:spacing w:val="6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команди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до стресової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ситуації,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знаходити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засоби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її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нейтралізації.</w:t>
      </w:r>
    </w:p>
    <w:p w14:paraId="3FEC856A">
      <w:pPr>
        <w:ind w:left="341"/>
        <w:jc w:val="both"/>
        <w:rPr>
          <w:color w:val="000000"/>
          <w:spacing w:val="1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РН15.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Демонструвати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здатність</w:t>
      </w:r>
      <w:r>
        <w:rPr>
          <w:spacing w:val="1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діяти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соціально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відповідально</w:t>
      </w:r>
      <w:r>
        <w:rPr>
          <w:spacing w:val="1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та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громадсько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свідомо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на</w:t>
      </w:r>
      <w:r>
        <w:rPr>
          <w:spacing w:val="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основі</w:t>
      </w:r>
      <w:r>
        <w:rPr>
          <w:spacing w:val="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етичних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міркувань</w:t>
      </w:r>
      <w:r>
        <w:rPr>
          <w:spacing w:val="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(мотивів),</w:t>
      </w:r>
      <w:r>
        <w:rPr>
          <w:spacing w:val="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повагу</w:t>
      </w:r>
      <w:r>
        <w:rPr>
          <w:spacing w:val="14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до</w:t>
      </w:r>
      <w:r>
        <w:rPr>
          <w:spacing w:val="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різноманітності</w:t>
      </w:r>
      <w:r>
        <w:rPr>
          <w:spacing w:val="14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міжкультурності</w:t>
      </w:r>
      <w:r>
        <w:rPr>
          <w:color w:val="000000"/>
          <w:spacing w:val="1"/>
          <w:sz w:val="24"/>
          <w:szCs w:val="24"/>
          <w:lang w:val="uk-UA"/>
        </w:rPr>
        <w:t>.</w:t>
      </w:r>
    </w:p>
    <w:p w14:paraId="32E22A8A">
      <w:pPr>
        <w:ind w:left="341"/>
        <w:jc w:val="both"/>
        <w:rPr>
          <w:sz w:val="24"/>
          <w:szCs w:val="24"/>
          <w:lang w:val="uk-UA"/>
        </w:rPr>
      </w:pPr>
    </w:p>
    <w:p w14:paraId="7CF999BE">
      <w:pPr>
        <w:ind w:left="341"/>
        <w:jc w:val="both"/>
        <w:rPr>
          <w:sz w:val="24"/>
          <w:szCs w:val="24"/>
          <w:lang w:val="uk-UA"/>
        </w:rPr>
      </w:pPr>
    </w:p>
    <w:p w14:paraId="24A307F0">
      <w:pPr>
        <w:ind w:firstLine="450"/>
        <w:jc w:val="both"/>
        <w:rPr>
          <w:sz w:val="24"/>
          <w:szCs w:val="24"/>
          <w:lang w:val="uk-UA"/>
        </w:rPr>
      </w:pPr>
    </w:p>
    <w:p w14:paraId="05A7F1D9">
      <w:pPr>
        <w:jc w:val="both"/>
        <w:rPr>
          <w:sz w:val="24"/>
          <w:szCs w:val="24"/>
          <w:lang w:val="uk-UA"/>
        </w:rPr>
      </w:pPr>
    </w:p>
    <w:p w14:paraId="431C6546">
      <w:pPr>
        <w:ind w:firstLine="450"/>
        <w:jc w:val="both"/>
        <w:rPr>
          <w:sz w:val="24"/>
          <w:szCs w:val="24"/>
          <w:lang w:val="uk-UA"/>
        </w:rPr>
      </w:pPr>
    </w:p>
    <w:p w14:paraId="2C780711">
      <w:pPr>
        <w:ind w:firstLine="450"/>
        <w:jc w:val="both"/>
        <w:rPr>
          <w:sz w:val="24"/>
          <w:szCs w:val="24"/>
          <w:lang w:val="uk-UA"/>
        </w:rPr>
      </w:pPr>
    </w:p>
    <w:p w14:paraId="070E552A">
      <w:pPr>
        <w:ind w:firstLine="450"/>
        <w:jc w:val="both"/>
        <w:rPr>
          <w:sz w:val="24"/>
          <w:szCs w:val="24"/>
          <w:lang w:val="uk-UA"/>
        </w:rPr>
      </w:pPr>
    </w:p>
    <w:p w14:paraId="14CF3FF0">
      <w:pPr>
        <w:ind w:firstLine="450"/>
        <w:jc w:val="both"/>
        <w:rPr>
          <w:sz w:val="24"/>
          <w:szCs w:val="24"/>
          <w:lang w:val="uk-UA"/>
        </w:rPr>
      </w:pPr>
    </w:p>
    <w:p w14:paraId="213684B4">
      <w:pPr>
        <w:ind w:firstLine="450"/>
        <w:jc w:val="both"/>
        <w:rPr>
          <w:sz w:val="24"/>
          <w:szCs w:val="24"/>
          <w:lang w:val="uk-UA"/>
        </w:rPr>
      </w:pPr>
    </w:p>
    <w:p w14:paraId="6BD36462">
      <w:pPr>
        <w:ind w:firstLine="450"/>
        <w:jc w:val="both"/>
        <w:rPr>
          <w:sz w:val="24"/>
          <w:szCs w:val="24"/>
          <w:lang w:val="uk-UA"/>
        </w:rPr>
      </w:pPr>
    </w:p>
    <w:p w14:paraId="1B705735">
      <w:pPr>
        <w:ind w:firstLine="450"/>
        <w:jc w:val="both"/>
        <w:rPr>
          <w:sz w:val="24"/>
          <w:szCs w:val="24"/>
          <w:lang w:val="uk-UA"/>
        </w:rPr>
      </w:pPr>
    </w:p>
    <w:p w14:paraId="66F97A16">
      <w:pPr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Зміст навчальної дисципліни</w:t>
      </w:r>
    </w:p>
    <w:tbl>
      <w:tblPr>
        <w:tblStyle w:val="6"/>
        <w:tblpPr w:leftFromText="180" w:rightFromText="180" w:vertAnchor="text" w:tblpX="-374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970"/>
        <w:gridCol w:w="695"/>
        <w:gridCol w:w="695"/>
        <w:gridCol w:w="743"/>
        <w:gridCol w:w="3196"/>
      </w:tblGrid>
      <w:tr w14:paraId="536A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5C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FE9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607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К-сть годин, з них:</w:t>
            </w:r>
          </w:p>
        </w:tc>
      </w:tr>
      <w:tr w14:paraId="6C10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FE364A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730FC">
            <w:pPr>
              <w:snapToGrid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</w:tcPr>
          <w:p w14:paraId="3D83DE01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1973F682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Семінарські зан.</w:t>
            </w:r>
          </w:p>
          <w:p w14:paraId="5BB7AB4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4E4FC855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C1F9D5">
            <w:pPr>
              <w:pStyle w:val="14"/>
              <w:keepNext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4EF5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FA8CB1">
            <w:pPr>
              <w:ind w:firstLine="45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 семестр</w:t>
            </w:r>
          </w:p>
          <w:p w14:paraId="7E52F8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Змістовний модуль 1. </w:t>
            </w:r>
            <w:r>
              <w:rPr>
                <w:b/>
                <w:sz w:val="24"/>
                <w:szCs w:val="24"/>
              </w:rPr>
              <w:t>HR менеджмент: основні поняття та головні функції</w:t>
            </w:r>
          </w:p>
        </w:tc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1F7D5">
            <w:pPr>
              <w:snapToGrid w:val="0"/>
              <w:jc w:val="both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/>
              </w:rPr>
              <w:t>Методи навчання:</w:t>
            </w:r>
            <w:r>
              <w:rPr>
                <w:bCs/>
                <w:spacing w:val="-4"/>
                <w:sz w:val="24"/>
                <w:szCs w:val="24"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212DEB4D">
            <w:pPr>
              <w:snapToGrid w:val="0"/>
              <w:jc w:val="both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/>
              </w:rPr>
              <w:t>Методи оцінювання:</w:t>
            </w:r>
            <w:r>
              <w:rPr>
                <w:bCs/>
                <w:spacing w:val="-4"/>
                <w:sz w:val="24"/>
                <w:szCs w:val="24"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6797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DCD8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49F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HR-менеджмент в</w:t>
            </w:r>
          </w:p>
          <w:p w14:paraId="260318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системі менеджменту</w:t>
            </w:r>
          </w:p>
          <w:p w14:paraId="6A0B3A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8337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AF0EBC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66168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BB70C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79B4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9D9E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3F53E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HR-менеджмент як</w:t>
            </w:r>
          </w:p>
          <w:p w14:paraId="6C2E7F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соціальна система</w:t>
            </w:r>
          </w:p>
          <w:p w14:paraId="235A249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менеджменту.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041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80B0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2390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3A387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4950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17D0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113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HR-політика організації.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A66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FE3CE8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CD307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6CEC1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64E6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B6DA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98D2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HR-планування в організаціях.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E8D7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3309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E7C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D0DB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1436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CC96F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Змістовний модуль 2. 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Професійний розвиток, управління,</w:t>
            </w:r>
          </w:p>
          <w:p w14:paraId="296BB4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формування та ефективність управління персоналом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ACC02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14:paraId="1ACF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DDA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C682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Залучення персоналу</w:t>
            </w:r>
          </w:p>
          <w:p w14:paraId="4ABD35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організації.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BC2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3D15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80B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7245A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2514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D2B3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B1DF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діяльності та</w:t>
            </w:r>
          </w:p>
          <w:p w14:paraId="19C3E4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функції HR-служб. 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65D9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B4DD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A7F1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A42CA5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39B5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90F8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7.</w:t>
            </w:r>
          </w:p>
          <w:p w14:paraId="5AC7B5D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18F5A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8.</w:t>
            </w:r>
          </w:p>
          <w:p w14:paraId="09DA180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6CDAB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9.</w:t>
            </w:r>
          </w:p>
          <w:p w14:paraId="10BEAD37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A144D52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D1E19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Тема10.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FFA1D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Колектив як соціальна група.</w:t>
            </w:r>
          </w:p>
          <w:p w14:paraId="0728E934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CAEB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процесом вивільнення персоналу.</w:t>
            </w:r>
          </w:p>
          <w:p w14:paraId="3B2C0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якістю трудового життя працівників організації</w:t>
            </w:r>
          </w:p>
          <w:p w14:paraId="35D0939C">
            <w:pPr>
              <w:jc w:val="both"/>
              <w:rPr>
                <w:sz w:val="24"/>
                <w:szCs w:val="24"/>
              </w:rPr>
            </w:pPr>
          </w:p>
          <w:p w14:paraId="103AD2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Ефективність HR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</w:rPr>
              <w:t>менеджменту.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FE4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621D6A53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7AF60F4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277736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3FF35FB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4C7255A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E195DB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2A5F6E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492B7BC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59FAF6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6846ADE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7697932E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7D5E2712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112164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7EF2E2F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D89820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77C6E4D6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049C7265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3CF2DB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  <w:p w14:paraId="18B9B358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123B536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  <w:p w14:paraId="062799FB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44EF3A15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  <w:p w14:paraId="1468B75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79B4E97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30F95ED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3B8264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5258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299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</w:tr>
      <w:tr w14:paraId="1BD2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39649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19C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9C0F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88D5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8156B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14:paraId="2E94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16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300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Форма контролю: залік</w:t>
            </w:r>
          </w:p>
        </w:tc>
      </w:tr>
    </w:tbl>
    <w:p w14:paraId="029C8C85">
      <w:pPr>
        <w:ind w:firstLine="450"/>
        <w:jc w:val="both"/>
        <w:rPr>
          <w:sz w:val="24"/>
          <w:szCs w:val="24"/>
          <w:lang w:val="uk-UA"/>
        </w:rPr>
      </w:pPr>
    </w:p>
    <w:p w14:paraId="35F5708A">
      <w:pPr>
        <w:spacing w:line="240" w:lineRule="auto"/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Технічне обладнання та/або програмне забезпечення. </w:t>
      </w:r>
      <w:r>
        <w:rPr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24476D07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Форми методи контролю.</w:t>
      </w:r>
    </w:p>
    <w:p w14:paraId="1FFAA7A6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62415E18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7DBFA9BB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4AB122A1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-виступ з основного питання;</w:t>
      </w:r>
    </w:p>
    <w:p w14:paraId="1DB990C1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-усна доповідь;</w:t>
      </w:r>
    </w:p>
    <w:p w14:paraId="1B9BC515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доповнення, запитання до того, хто відповідає;</w:t>
      </w:r>
    </w:p>
    <w:p w14:paraId="5CBB4C11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систематичність роботи на семінарських заняттях, активність під час обговорення питань;</w:t>
      </w:r>
    </w:p>
    <w:p w14:paraId="098730F2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участь у дискусіях, інтерактивних формах організації заняття;</w:t>
      </w:r>
    </w:p>
    <w:p w14:paraId="77C2DF9C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аналіз законодавства та монографічної літератури;</w:t>
      </w:r>
    </w:p>
    <w:p w14:paraId="1C3FBED8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письмові завдання (тестові, контрольні, творчі роботи, реферати тощо);</w:t>
      </w:r>
    </w:p>
    <w:p w14:paraId="3FBF5895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підготовка тез, конспектів навчальних або наукових текстів;</w:t>
      </w:r>
    </w:p>
    <w:p w14:paraId="5FED5AB9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самостійне опрацювання тем;</w:t>
      </w:r>
    </w:p>
    <w:p w14:paraId="063149CD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Контроль успішності здобувачів освіти поділяється на поточний і підсумковий .</w:t>
      </w:r>
    </w:p>
    <w:p w14:paraId="215E962F">
      <w:pPr>
        <w:spacing w:line="240" w:lineRule="auto"/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3A6F609C">
      <w:pPr>
        <w:jc w:val="both"/>
        <w:rPr>
          <w:sz w:val="24"/>
          <w:szCs w:val="24"/>
          <w:lang w:val="uk-UA"/>
        </w:rPr>
      </w:pPr>
    </w:p>
    <w:p w14:paraId="32F66862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Система оцінювання та вимоги.</w:t>
      </w:r>
    </w:p>
    <w:p w14:paraId="09FD85EF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Таблиця розподілу балів, які отримують здобувачі вищої освіти*</w:t>
      </w:r>
    </w:p>
    <w:tbl>
      <w:tblPr>
        <w:tblStyle w:val="6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22"/>
        <w:gridCol w:w="515"/>
        <w:gridCol w:w="7"/>
        <w:gridCol w:w="509"/>
        <w:gridCol w:w="515"/>
        <w:gridCol w:w="7"/>
        <w:gridCol w:w="509"/>
        <w:gridCol w:w="522"/>
        <w:gridCol w:w="470"/>
        <w:gridCol w:w="470"/>
        <w:gridCol w:w="470"/>
        <w:gridCol w:w="470"/>
        <w:gridCol w:w="26"/>
        <w:gridCol w:w="496"/>
        <w:gridCol w:w="1431"/>
        <w:gridCol w:w="1031"/>
        <w:gridCol w:w="1140"/>
      </w:tblGrid>
      <w:tr w14:paraId="7294A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D0A17D">
            <w:pPr>
              <w:pStyle w:val="50"/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3B0787">
            <w:pPr>
              <w:pStyle w:val="50"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254FEB3">
            <w:pPr>
              <w:pStyle w:val="5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3F2E7B">
            <w:pPr>
              <w:pStyle w:val="5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F41D7C">
            <w:pPr>
              <w:pStyle w:val="5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BC7A29">
            <w:pPr>
              <w:pStyle w:val="5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14:paraId="6D3B78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B7CBF7">
            <w:pPr>
              <w:pStyle w:val="50"/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30CB441A">
            <w:pPr>
              <w:pStyle w:val="5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1776BD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32AD93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5A89F7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1AEE5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36C32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6E71F1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601459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31D13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712304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143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87E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5511D212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619C3F6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217C986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03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882620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8FD8907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99D96DA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AC40D5B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E90C61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70997855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895646B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52F12B31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43AD5D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5DAE38">
            <w:pPr>
              <w:pStyle w:val="5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 семінарському занятті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DFDFC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B46D1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63EE50D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880952F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880CC20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47CF248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A9BDD82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A8C2500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49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11737BC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92A0F96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97531C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0AAA008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C75E6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ADD2113"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272589">
            <w:pPr>
              <w:pStyle w:val="5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5BEA9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C421252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790AD90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E3DF3C4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7AE97ED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36DCDBA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3AB0EFC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1DE439D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49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1544488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B2BBFB0">
            <w:pPr>
              <w:widowControl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F17C5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249256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989D84">
            <w:pPr>
              <w:pStyle w:val="5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90A4810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</w:p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Модульна контрольна робота з навчальної дисципліни  «</w:t>
      </w:r>
      <w:r>
        <w:rPr>
          <w:rFonts w:hint="default"/>
          <w:color w:val="000000"/>
          <w:sz w:val="24"/>
          <w:szCs w:val="24"/>
          <w:lang w:val="en-US" w:eastAsia="ru-RU"/>
        </w:rPr>
        <w:t>HR</w:t>
      </w:r>
      <w:r>
        <w:rPr>
          <w:rFonts w:hint="default"/>
          <w:color w:val="000000"/>
          <w:sz w:val="24"/>
          <w:szCs w:val="24"/>
          <w:lang w:val="uk-UA" w:eastAsia="ru-RU"/>
        </w:rPr>
        <w:t>-менеджмент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rFonts w:hint="default"/>
          <w:color w:val="000000"/>
          <w:sz w:val="24"/>
          <w:szCs w:val="24"/>
          <w:lang w:val="en-US" w:eastAsia="ru-RU"/>
        </w:rPr>
        <w:t>HR</w:t>
      </w:r>
      <w:r>
        <w:rPr>
          <w:rFonts w:hint="default"/>
          <w:color w:val="000000"/>
          <w:sz w:val="24"/>
          <w:szCs w:val="24"/>
          <w:lang w:val="uk-UA" w:eastAsia="ru-RU"/>
        </w:rPr>
        <w:t>-менеджмент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</w:t>
      </w:r>
      <w:r>
        <w:rPr>
          <w:rFonts w:hint="default"/>
          <w:color w:val="000000"/>
          <w:sz w:val="24"/>
          <w:szCs w:val="24"/>
          <w:lang w:val="en-US" w:eastAsia="ru-RU"/>
        </w:rPr>
        <w:t>HR</w:t>
      </w:r>
      <w:r>
        <w:rPr>
          <w:rFonts w:hint="default"/>
          <w:color w:val="000000"/>
          <w:sz w:val="24"/>
          <w:szCs w:val="24"/>
          <w:lang w:val="uk-UA" w:eastAsia="ru-RU"/>
        </w:rPr>
        <w:t>-менеджмент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81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3FEE62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82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1E57F047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59F5649F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6589D97C">
      <w:pPr>
        <w:spacing w:line="276" w:lineRule="auto"/>
        <w:ind w:firstLine="567"/>
        <w:jc w:val="both"/>
        <w:rPr>
          <w:rStyle w:val="32"/>
          <w:bCs/>
          <w:szCs w:val="24"/>
        </w:rPr>
      </w:pPr>
    </w:p>
    <w:p w14:paraId="446DA3D4">
      <w:pPr>
        <w:spacing w:line="276" w:lineRule="auto"/>
        <w:ind w:firstLine="567"/>
        <w:jc w:val="both"/>
        <w:rPr>
          <w:rStyle w:val="32"/>
          <w:bCs/>
          <w:szCs w:val="24"/>
        </w:rPr>
      </w:pPr>
      <w:bookmarkStart w:id="0" w:name="_GoBack"/>
      <w:bookmarkEnd w:id="0"/>
    </w:p>
    <w:p w14:paraId="29D1CD68">
      <w:pPr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rStyle w:val="32"/>
          <w:bCs/>
          <w:szCs w:val="24"/>
        </w:rPr>
        <w:t>Шкала підсумкового оцінювання: національна та ECTS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363"/>
        <w:gridCol w:w="3581"/>
        <w:gridCol w:w="3204"/>
      </w:tblGrid>
      <w:tr w14:paraId="45B5A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164554F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97793B2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C311431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04D41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4EA5EDE">
            <w:pPr>
              <w:pStyle w:val="15"/>
              <w:snapToGrid w:val="0"/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72BF1FD">
            <w:pPr>
              <w:pStyle w:val="15"/>
              <w:snapToGrid w:val="0"/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2BE6486">
            <w:pPr>
              <w:pStyle w:val="15"/>
              <w:spacing w:after="0"/>
              <w:ind w:left="1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C46F222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для заліку</w:t>
            </w:r>
          </w:p>
        </w:tc>
      </w:tr>
      <w:tr w14:paraId="6B79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6D296E4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8D9185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8643EF2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B0F4FB2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Зараховано</w:t>
            </w:r>
          </w:p>
        </w:tc>
      </w:tr>
      <w:tr w14:paraId="07930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E1BA4B3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F5C8D60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CA9A6B9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C5FCCFB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B6A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F147009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75-81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8A65B79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D5DDFF5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FFBC933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484CC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96ECA89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68-74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AC5DD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C8F2CDC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BCAE0DB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5DAC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4CCDF58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60-67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4C6EC14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4D8B2AD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ED2483D">
            <w:pPr>
              <w:pStyle w:val="15"/>
              <w:snapToGrid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74E6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C7F30DA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8E009A9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FХ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E88B602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2F06B07">
            <w:pPr>
              <w:pStyle w:val="15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14CC4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0F463B5">
            <w:pPr>
              <w:pStyle w:val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95365A1">
            <w:pPr>
              <w:pStyle w:val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6D31231">
            <w:pPr>
              <w:pStyle w:val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53F2EA">
            <w:pPr>
              <w:pStyle w:val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8D5629A">
      <w:pPr>
        <w:ind w:firstLine="450"/>
        <w:jc w:val="both"/>
        <w:rPr>
          <w:b/>
          <w:bCs/>
          <w:sz w:val="24"/>
          <w:szCs w:val="24"/>
          <w:lang w:val="uk-UA"/>
        </w:rPr>
      </w:pPr>
    </w:p>
    <w:p w14:paraId="000C3A5C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Політика курсу. </w:t>
      </w:r>
    </w:p>
    <w:p w14:paraId="3038224F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успішного засвоєння курсу «</w:t>
      </w:r>
      <w:r>
        <w:rPr>
          <w:bCs/>
          <w:sz w:val="24"/>
          <w:szCs w:val="24"/>
          <w:lang w:val="uk-UA"/>
        </w:rPr>
        <w:t>HR-менеджмент</w:t>
      </w:r>
      <w:r>
        <w:rPr>
          <w:sz w:val="24"/>
          <w:szCs w:val="24"/>
          <w:lang w:val="uk-UA"/>
        </w:rPr>
        <w:t>» здобувач освіти має:</w:t>
      </w:r>
    </w:p>
    <w:p w14:paraId="43015522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регулярно відвідувати лекційні та практичні заняття;</w:t>
      </w:r>
    </w:p>
    <w:p w14:paraId="1F0CC30C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систематично, системно й активно працювати на лекційних і практичних заняттях;</w:t>
      </w:r>
    </w:p>
    <w:p w14:paraId="43BAC201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відпрацьовувати пропущені заняття або незадовільні оцінки, отримані на заняттях;</w:t>
      </w:r>
    </w:p>
    <w:p w14:paraId="1F065156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25EB8854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контрольні та інші самостійні роботи;</w:t>
      </w:r>
    </w:p>
    <w:p w14:paraId="6C532BF7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дотримуватися норм академічної поведінки та етики.</w:t>
      </w:r>
    </w:p>
    <w:p w14:paraId="080392F3">
      <w:pPr>
        <w:ind w:firstLine="450"/>
        <w:jc w:val="both"/>
        <w:rPr>
          <w:rFonts w:eastAsia="SimSu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Курс «</w:t>
      </w:r>
      <w:r>
        <w:rPr>
          <w:bCs/>
          <w:sz w:val="24"/>
          <w:szCs w:val="24"/>
          <w:lang w:val="uk-UA"/>
        </w:rPr>
        <w:t>HR-менеджмент</w:t>
      </w:r>
      <w:r>
        <w:rPr>
          <w:sz w:val="24"/>
          <w:szCs w:val="24"/>
          <w:lang w:val="uk-UA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4732A466">
      <w:pPr>
        <w:ind w:firstLine="450"/>
        <w:jc w:val="both"/>
        <w:rPr>
          <w:rFonts w:eastAsia="SimSun"/>
          <w:i/>
          <w:iCs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 </w:t>
      </w:r>
    </w:p>
    <w:p w14:paraId="2D9E2A8C">
      <w:pPr>
        <w:ind w:firstLine="450"/>
        <w:jc w:val="both"/>
        <w:rPr>
          <w:rFonts w:eastAsia="SimSun"/>
          <w:sz w:val="24"/>
          <w:szCs w:val="24"/>
          <w:lang w:val="uk-UA"/>
        </w:rPr>
      </w:pPr>
    </w:p>
    <w:p w14:paraId="6E9BA76E">
      <w:pPr>
        <w:ind w:firstLine="450"/>
        <w:jc w:val="both"/>
        <w:rPr>
          <w:rFonts w:eastAsia="SimSun"/>
          <w:sz w:val="24"/>
          <w:szCs w:val="24"/>
          <w:lang w:val="uk-UA"/>
        </w:rPr>
      </w:pPr>
    </w:p>
    <w:p w14:paraId="5B3D4AE2">
      <w:pPr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Рекомендовані джерела інформації.</w:t>
      </w:r>
    </w:p>
    <w:p w14:paraId="0B750A74">
      <w:pPr>
        <w:pStyle w:val="17"/>
        <w:ind w:hanging="426"/>
        <w:rPr>
          <w:rStyle w:val="73"/>
          <w:spacing w:val="-4"/>
          <w:sz w:val="24"/>
          <w:szCs w:val="24"/>
        </w:rPr>
      </w:pPr>
      <w:r>
        <w:rPr>
          <w:b w:val="0"/>
          <w:i/>
          <w:spacing w:val="-4"/>
          <w:sz w:val="24"/>
          <w:szCs w:val="24"/>
        </w:rPr>
        <w:t>Нормативно-правові акти</w:t>
      </w:r>
    </w:p>
    <w:p w14:paraId="064ED1F2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Кодекс законів про працю України: Закон України (зі змінами та допов. № 322-08 від 01.01.2019). URL: https://zakon.rada.gov.ua/laws/show/322-08 (дата звернення 30.08.24).</w:t>
      </w:r>
    </w:p>
    <w:p w14:paraId="5C16B58E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гарантії трудових прав працівників: Рішення Конституційного Суду України від 27.06.2023 № 5-р/2023. URL: https://zakon.rada.gov.ua/laws/show/n0005005-23 (дата звернення 30.08.24).</w:t>
      </w:r>
    </w:p>
    <w:p w14:paraId="0D044470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державну службу: Закон України (зі змінами та допов. № 889-VIII від 01.01.2022). URL: https://zakon.rada.gov.ua/laws/show/889-19 (дата звернення 30.08.24).</w:t>
      </w:r>
    </w:p>
    <w:p w14:paraId="5C51B42A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забезпечення рівних прав та можливостей жінок і чоловіків: Закон України (зі змінами та допов. № 2866-IV від 07.11.2022). URL: https://zakon.rada.gov.ua/laws/show/2866-15 (дата звернення 30.08.24).</w:t>
      </w:r>
    </w:p>
    <w:p w14:paraId="0134D9FD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зайнятість населення: Закон України від 05.07.2012 № 5067-VI. URL https://kodeksy.com.ua/pro_zajnyatist_naselennya.htm (дата звернення 30.08.24).</w:t>
      </w:r>
    </w:p>
    <w:p w14:paraId="66879DE3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запобігання та протидію дискримінації в Україні: Закон України (з змінами та допов. № 5207-VI від 16.01.2023). URL: https://zakon.rada.gov.ua/laws/show/5207-17 (дата звернення 30.08.24).</w:t>
      </w:r>
    </w:p>
    <w:p w14:paraId="58FA15FC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захист персональних даних: Закон України від 01.06.2010 № 2297-VI. URL: https://zakon.rada.gov.ua/laws/show/2297-17 (дата звернення 30.08.24).</w:t>
      </w:r>
    </w:p>
    <w:p w14:paraId="1A1D20D8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колективне управління майновими правами: Закон України (зі змінами та допов. № 2415-VIII від 22.07.2021). URL: https://zakon.rada.gov.ua/laws/show/2415-19 (дата звернення 30.08.24).</w:t>
      </w:r>
    </w:p>
    <w:p w14:paraId="72253804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колективні договори і угоди: Закон України (зі змінами та допов. № 3356-12 від 27.12.2019). URL: https://zakon.rada.gov.ua/laws/show/3356-12 (дата звернення 30.08.24).</w:t>
      </w:r>
    </w:p>
    <w:p w14:paraId="43CF1AC1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Про навчання та стажування працівників: Постанова КМУ № 48 від 29.01.2020. URL: https://zakon.rada.gov.ua/laws/show/48-2020-п (дата звернення 30.08.24).</w:t>
      </w:r>
    </w:p>
    <w:p w14:paraId="2557D8D0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 xml:space="preserve">Про оплату праці: Закон України (зі змінами та допов. № 108/95-ВР від 27.12.2023). URL: </w:t>
      </w:r>
      <w:r>
        <w:fldChar w:fldCharType="begin"/>
      </w:r>
      <w:r>
        <w:instrText xml:space="preserve"> HYPERLINK "https://zakon.rada.gov.ua/laws/show/108/95-%D0%B2%D1%80" </w:instrText>
      </w:r>
      <w:r>
        <w:fldChar w:fldCharType="separate"/>
      </w:r>
      <w:r>
        <w:rPr>
          <w:rStyle w:val="9"/>
          <w:rFonts w:ascii="Times New Roman" w:hAnsi="Times New Roman" w:eastAsia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>https://zakon.rada.gov.ua/laws/show/108/95-%D0%B2%D1%80</w:t>
      </w:r>
      <w:r>
        <w:rPr>
          <w:rStyle w:val="9"/>
          <w:rFonts w:ascii="Times New Roman" w:hAnsi="Times New Roman" w:eastAsia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spacing w:val="-4"/>
          <w:kern w:val="0"/>
          <w:sz w:val="24"/>
          <w:szCs w:val="24"/>
          <w:lang w:val="uk-UA" w:eastAsia="ru-RU"/>
        </w:rPr>
        <w:t xml:space="preserve"> (дата звернення 30.08.24).</w:t>
      </w:r>
    </w:p>
    <w:p w14:paraId="61996335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>Про основи соціальної захищеності осіб з інвалідністю в Україні: Закон України. Введено в дію Постановою ВР від 21.03.1991 р. №876-ХІІ. Редакція від 21.08.2024 р., №3911-ІХ.</w:t>
      </w:r>
      <w:r>
        <w:rPr>
          <w:spacing w:val="-4"/>
          <w:sz w:val="24"/>
          <w:szCs w:val="24"/>
        </w:rPr>
        <w:t>URL</w:t>
      </w:r>
      <w:r>
        <w:rPr>
          <w:spacing w:val="-4"/>
          <w:sz w:val="24"/>
          <w:szCs w:val="24"/>
          <w:lang w:val="uk-UA"/>
        </w:rPr>
        <w:t xml:space="preserve">: </w:t>
      </w:r>
      <w:r>
        <w:rPr>
          <w:spacing w:val="-4"/>
          <w:sz w:val="24"/>
          <w:szCs w:val="24"/>
        </w:rPr>
        <w:t>https</w:t>
      </w:r>
      <w:r>
        <w:rPr>
          <w:spacing w:val="-4"/>
          <w:sz w:val="24"/>
          <w:szCs w:val="24"/>
          <w:lang w:val="uk-UA"/>
        </w:rPr>
        <w:t>://</w:t>
      </w:r>
      <w:r>
        <w:rPr>
          <w:spacing w:val="-4"/>
          <w:sz w:val="24"/>
          <w:szCs w:val="24"/>
        </w:rPr>
        <w:t>zakon</w:t>
      </w:r>
      <w:r>
        <w:rPr>
          <w:spacing w:val="-4"/>
          <w:sz w:val="24"/>
          <w:szCs w:val="24"/>
          <w:lang w:val="uk-UA"/>
        </w:rPr>
        <w:t>.</w:t>
      </w:r>
      <w:r>
        <w:rPr>
          <w:spacing w:val="-4"/>
          <w:sz w:val="24"/>
          <w:szCs w:val="24"/>
        </w:rPr>
        <w:t>rada</w:t>
      </w:r>
      <w:r>
        <w:rPr>
          <w:spacing w:val="-4"/>
          <w:sz w:val="24"/>
          <w:szCs w:val="24"/>
          <w:lang w:val="uk-UA"/>
        </w:rPr>
        <w:t>.</w:t>
      </w:r>
      <w:r>
        <w:rPr>
          <w:spacing w:val="-4"/>
          <w:sz w:val="24"/>
          <w:szCs w:val="24"/>
        </w:rPr>
        <w:t>gov</w:t>
      </w:r>
      <w:r>
        <w:rPr>
          <w:spacing w:val="-4"/>
          <w:sz w:val="24"/>
          <w:szCs w:val="24"/>
          <w:lang w:val="uk-UA"/>
        </w:rPr>
        <w:t>.</w:t>
      </w:r>
      <w:r>
        <w:rPr>
          <w:spacing w:val="-4"/>
          <w:sz w:val="24"/>
          <w:szCs w:val="24"/>
        </w:rPr>
        <w:t>ua</w:t>
      </w:r>
      <w:r>
        <w:rPr>
          <w:spacing w:val="-4"/>
          <w:sz w:val="24"/>
          <w:szCs w:val="24"/>
          <w:lang w:val="uk-UA"/>
        </w:rPr>
        <w:t>/</w:t>
      </w:r>
      <w:r>
        <w:rPr>
          <w:spacing w:val="-4"/>
          <w:sz w:val="24"/>
          <w:szCs w:val="24"/>
        </w:rPr>
        <w:t>laws</w:t>
      </w:r>
      <w:r>
        <w:rPr>
          <w:spacing w:val="-4"/>
          <w:sz w:val="24"/>
          <w:szCs w:val="24"/>
          <w:lang w:val="uk-UA"/>
        </w:rPr>
        <w:t>/</w:t>
      </w:r>
      <w:r>
        <w:rPr>
          <w:spacing w:val="-4"/>
          <w:sz w:val="24"/>
          <w:szCs w:val="24"/>
        </w:rPr>
        <w:t>show</w:t>
      </w:r>
      <w:r>
        <w:rPr>
          <w:spacing w:val="-4"/>
          <w:sz w:val="24"/>
          <w:szCs w:val="24"/>
          <w:lang w:val="uk-UA"/>
        </w:rPr>
        <w:t>/875- 12#</w:t>
      </w:r>
      <w:r>
        <w:rPr>
          <w:spacing w:val="-4"/>
          <w:sz w:val="24"/>
          <w:szCs w:val="24"/>
        </w:rPr>
        <w:t>Text</w:t>
      </w:r>
      <w:r>
        <w:rPr>
          <w:spacing w:val="-4"/>
          <w:sz w:val="24"/>
          <w:szCs w:val="24"/>
          <w:lang w:val="uk-UA"/>
        </w:rPr>
        <w:t xml:space="preserve"> (дата звернення 30.08.24). </w:t>
      </w:r>
    </w:p>
    <w:p w14:paraId="0671AD26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Про охорону праці: Закон України (зі змінами та допов. № 2694-XII від 27.12.2019). URL: https://zakon.rada.gov.ua/laws/show/2694-12 (дата звернення 30.08.24). </w:t>
      </w:r>
    </w:p>
    <w:p w14:paraId="73C9704A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Про порядок вирішення колективних трудових спорів (конфліктів): Закон України (зі змінами та допов. № 137/98-ВР від 07.11.2012). URL: https://zakon.rada.gov.ua/laws/show/137/98-%D0%B2%D1%80 (дата звернення 30.08.24). </w:t>
      </w:r>
    </w:p>
    <w:p w14:paraId="5BD709BA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Про професійний розвиток працівників: Закон України від 12.01.2012 № 4312-VI. URL: https://zakon.rada.gov.ua/laws/show/4312-17 (дата звернення 30.08.24). </w:t>
      </w:r>
    </w:p>
    <w:p w14:paraId="7875786E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</w:rPr>
        <w:t>Про соціальний діалог в Україні: Закон України від 23.12.2010 № 2862- VI. URL: https://zakon.rada.gov.ua/laws/show/2862-17 (дата звернення 30.08.24).</w:t>
      </w:r>
    </w:p>
    <w:p w14:paraId="73C4987A">
      <w:pPr>
        <w:tabs>
          <w:tab w:val="left" w:pos="567"/>
        </w:tabs>
        <w:ind w:firstLine="360"/>
        <w:jc w:val="both"/>
        <w:rPr>
          <w:spacing w:val="-4"/>
          <w:sz w:val="24"/>
          <w:szCs w:val="24"/>
          <w:lang w:val="uk-UA"/>
        </w:rPr>
      </w:pPr>
    </w:p>
    <w:p w14:paraId="3F7A364F">
      <w:pPr>
        <w:pStyle w:val="16"/>
        <w:tabs>
          <w:tab w:val="left" w:pos="567"/>
          <w:tab w:val="left" w:pos="851"/>
        </w:tabs>
        <w:spacing w:after="0"/>
        <w:ind w:left="0" w:firstLine="360"/>
        <w:jc w:val="center"/>
        <w:rPr>
          <w:rStyle w:val="76"/>
          <w:rFonts w:eastAsia="Arial"/>
          <w:spacing w:val="-4"/>
          <w:sz w:val="24"/>
          <w:szCs w:val="24"/>
          <w:lang w:val="uk-UA"/>
        </w:rPr>
      </w:pPr>
      <w:r>
        <w:rPr>
          <w:b/>
          <w:i/>
          <w:spacing w:val="-4"/>
          <w:sz w:val="24"/>
          <w:szCs w:val="24"/>
          <w:lang w:val="uk-UA"/>
        </w:rPr>
        <w:t>Основна література</w:t>
      </w:r>
    </w:p>
    <w:p w14:paraId="5917B9A0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Васильєва Г. А. Технології рекрутингу у цифрову епоху. Львів: Видавництво «Світ», 2024. 270</w:t>
      </w:r>
      <w:r>
        <w:rPr>
          <w:spacing w:val="-4"/>
          <w:sz w:val="24"/>
          <w:szCs w:val="24"/>
          <w:lang w:val="uk-UA"/>
        </w:rPr>
        <w:t> </w:t>
      </w:r>
      <w:r>
        <w:rPr>
          <w:spacing w:val="-4"/>
          <w:sz w:val="24"/>
          <w:szCs w:val="24"/>
        </w:rPr>
        <w:t xml:space="preserve">с. </w:t>
      </w:r>
    </w:p>
    <w:p w14:paraId="61A43B22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Вулпен Е. Впровадження інновацій у HR-менеджменті. Харків: Видавничий дім «Ранок», 2023. 265 с. </w:t>
      </w:r>
    </w:p>
    <w:p w14:paraId="56ED278B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Вулпен Е. Сім цифрових HR-трендів 2020 року. URL: http://www.management.com.ua/tend/tend1208.html (дата звернення 30.08.2</w:t>
      </w:r>
      <w:r>
        <w:rPr>
          <w:spacing w:val="-4"/>
          <w:sz w:val="24"/>
          <w:szCs w:val="24"/>
          <w:lang w:val="uk-UA"/>
        </w:rPr>
        <w:t>4</w:t>
      </w:r>
      <w:r>
        <w:rPr>
          <w:spacing w:val="-4"/>
          <w:sz w:val="24"/>
          <w:szCs w:val="24"/>
        </w:rPr>
        <w:t xml:space="preserve">). </w:t>
      </w:r>
    </w:p>
    <w:p w14:paraId="4BA0F9FB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Гончарова І. В. Сучасний HR-менеджмент: тенденції та виклики. Львів: ЛНУ ім. І. Франка, 2022. 275 с. </w:t>
      </w:r>
    </w:p>
    <w:p w14:paraId="34FA8C8E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</w:rPr>
        <w:t xml:space="preserve">Драган О. І. Економічні і соціально-трудові аспекти управління персоналом: теорія та практика: монографія. Київ: Кафедра, 2017. 271 с. </w:t>
      </w:r>
    </w:p>
    <w:p w14:paraId="2FABC364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</w:rPr>
        <w:t xml:space="preserve">Дяків О. П., Островерхов В. М. </w:t>
      </w:r>
      <w:r>
        <w:rPr>
          <w:color w:val="333333"/>
          <w:spacing w:val="-4"/>
          <w:sz w:val="24"/>
          <w:szCs w:val="24"/>
          <w:shd w:val="clear" w:color="auto" w:fill="FFFFFF"/>
        </w:rPr>
        <w:t>Управління персоналом [Електронний ресурс] : навч.-метод. посіб. / О. П. Дяків, В. М. Островерхов ; 2-ге вид., переробл. і доповн. - Тернопіль : ТНЕУ, 2018. 288 с.</w:t>
      </w:r>
      <w:r>
        <w:rPr>
          <w:spacing w:val="-4"/>
          <w:sz w:val="24"/>
          <w:szCs w:val="24"/>
          <w:lang w:val="uk-UA"/>
        </w:rPr>
        <w:t xml:space="preserve"> </w:t>
      </w:r>
    </w:p>
    <w:p w14:paraId="2601E101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Залюбінська Л. М., Скорик М. Л. HRM: підручник, частина друга. Одеса: Одеський національний університет імені І.І. Мечникова, 2017. 410 с. </w:t>
      </w:r>
    </w:p>
    <w:p w14:paraId="4B186B94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Ковальчук Н. В. HR-аналітика: дані, які змінюють підходи до управління персоналом. Київ: КНЕУ, 2021. 192 с. </w:t>
      </w:r>
    </w:p>
    <w:p w14:paraId="259815B2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Крамаренко А. П. Гнучкість та адаптивність у HRM: нові реалії після пандемії. Дніпро: Університет економіки і права, 2022. 230 с. </w:t>
      </w:r>
    </w:p>
    <w:p w14:paraId="32CCF1F2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Маркович О. Л. HR як стратегічна функція управління: навчальний посібник. Київ: КНЕУ, 2024. 298 с. </w:t>
      </w:r>
    </w:p>
    <w:p w14:paraId="0FA6AFE2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Сидоренко В. О. HR-менеджмент в епоху цифрової трансформації. Одеса: ОНУ ім. І.І. Мечникова, 2023. 310 с. </w:t>
      </w:r>
    </w:p>
    <w:p w14:paraId="74B8D67B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Шкробот М.В., Ведута Л.Л. HR-менеджмент: конспект лекцій: навчальний посібник для здобувачів вищої освіти спеціальності 073«Менеджмент». Київ: КПІ ім. Ігоря Сікорського, 2020. 270с. </w:t>
      </w:r>
    </w:p>
    <w:p w14:paraId="1AFB0C2A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</w:rPr>
        <w:t>Шубалий О. М. Управління персоналом. Луцьк: Луцький національний технічний університет, 2018. 403 с.</w:t>
      </w:r>
    </w:p>
    <w:p w14:paraId="5EC1CE7B">
      <w:pPr>
        <w:pStyle w:val="2"/>
        <w:numPr>
          <w:ilvl w:val="0"/>
          <w:numId w:val="0"/>
        </w:numPr>
        <w:tabs>
          <w:tab w:val="left" w:pos="567"/>
        </w:tabs>
        <w:spacing w:before="0" w:after="0"/>
        <w:ind w:firstLine="360"/>
        <w:jc w:val="both"/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</w:pPr>
    </w:p>
    <w:p w14:paraId="1F4708C2">
      <w:pPr>
        <w:tabs>
          <w:tab w:val="left" w:pos="567"/>
          <w:tab w:val="left" w:pos="851"/>
        </w:tabs>
        <w:ind w:firstLine="360"/>
        <w:jc w:val="center"/>
        <w:rPr>
          <w:color w:val="000000"/>
          <w:spacing w:val="-4"/>
          <w:sz w:val="24"/>
          <w:szCs w:val="24"/>
          <w:lang w:val="uk-UA"/>
        </w:rPr>
      </w:pPr>
      <w:r>
        <w:rPr>
          <w:b/>
          <w:i/>
          <w:color w:val="000000"/>
          <w:spacing w:val="-4"/>
          <w:sz w:val="24"/>
          <w:szCs w:val="24"/>
          <w:lang w:val="uk-UA"/>
        </w:rPr>
        <w:t xml:space="preserve">Додаткова </w:t>
      </w:r>
      <w:r>
        <w:rPr>
          <w:b/>
          <w:i/>
          <w:spacing w:val="-4"/>
          <w:sz w:val="24"/>
          <w:szCs w:val="24"/>
          <w:lang w:val="uk-UA"/>
        </w:rPr>
        <w:t>література</w:t>
      </w:r>
    </w:p>
    <w:p w14:paraId="06918F9D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uk-UA"/>
        </w:rPr>
        <w:t xml:space="preserve">Безпалько О. В., Бергер А. Д., Березянко Т. М., Гринюк Ю. М., Грищенко Д. Г., Драган О. І., Зєніна-Біліченко А. С., Мазник Л. М., Тертична Л. І., Соломка О. М., Чигринець О. А. Менеджмент персоналу: навчальний посібник. Київ: МПП «ЛИНО», 2022. 612 с. </w:t>
      </w:r>
    </w:p>
    <w:p w14:paraId="230EFF0D">
      <w:pPr>
        <w:pStyle w:val="7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rFonts w:eastAsia="Arial Unicode MS"/>
          <w:color w:val="000000" w:themeColor="text1"/>
          <w:spacing w:val="-4"/>
          <w:sz w:val="24"/>
          <w:szCs w:val="24"/>
        </w:rPr>
      </w:pP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Головач Н. В. До аналізу світового досвіду економічної освіти фахівців з </w:t>
      </w:r>
      <w:r>
        <w:rPr>
          <w:color w:val="000000" w:themeColor="text1"/>
          <w:spacing w:val="-4"/>
          <w:sz w:val="24"/>
          <w:szCs w:val="24"/>
        </w:rPr>
        <w:t>управління персоналом</w:t>
      </w: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. </w:t>
      </w:r>
      <w:r>
        <w:rPr>
          <w:color w:val="000000" w:themeColor="text1"/>
          <w:spacing w:val="-4"/>
          <w:sz w:val="24"/>
          <w:szCs w:val="24"/>
        </w:rPr>
        <w:t xml:space="preserve">Наукові праці МАУП. Серія Економічні науки, 2018, вип. 56(2), С. 38-45. </w:t>
      </w:r>
      <w:r>
        <w:fldChar w:fldCharType="begin"/>
      </w:r>
      <w:r>
        <w:instrText xml:space="preserve"> HYPERLINK "http://library.iapm.edu.ua/Naukovi_vydannya/Naukovi_praci_MAUP/Naukovi_praci_MAUP_56(2-2018)_Ekonom.pdf" </w:instrText>
      </w:r>
      <w:r>
        <w:fldChar w:fldCharType="separate"/>
      </w:r>
      <w:r>
        <w:rPr>
          <w:rStyle w:val="9"/>
          <w:spacing w:val="-4"/>
          <w:sz w:val="24"/>
          <w:szCs w:val="24"/>
          <w:lang w:eastAsia="uk-UA"/>
        </w:rPr>
        <w:t>http://library.iapm.edu.ua/Naukovi_vydannya/Naukovi_praci_MAUP/Naukovi_praci_MAUP_56(2-2018)_Ekonom.pdf</w:t>
      </w:r>
      <w:r>
        <w:rPr>
          <w:rStyle w:val="9"/>
          <w:spacing w:val="-4"/>
          <w:sz w:val="24"/>
          <w:szCs w:val="24"/>
          <w:lang w:eastAsia="uk-UA"/>
        </w:rPr>
        <w:fldChar w:fldCharType="end"/>
      </w:r>
    </w:p>
    <w:p w14:paraId="4FC31957">
      <w:pPr>
        <w:pStyle w:val="72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bCs/>
          <w:color w:val="000000" w:themeColor="text1"/>
          <w:spacing w:val="-4"/>
          <w:sz w:val="24"/>
          <w:szCs w:val="24"/>
          <w:shd w:val="clear" w:color="auto" w:fill="FFFFFF"/>
        </w:rPr>
      </w:pPr>
      <w:r>
        <w:rPr>
          <w:color w:val="000000" w:themeColor="text1"/>
          <w:spacing w:val="-4"/>
          <w:sz w:val="24"/>
          <w:szCs w:val="24"/>
        </w:rPr>
        <w:t>Головач Н.</w:t>
      </w:r>
      <w:r>
        <w:rPr>
          <w:color w:val="000000" w:themeColor="text1"/>
          <w:spacing w:val="-4"/>
          <w:sz w:val="24"/>
          <w:szCs w:val="24"/>
          <w:lang w:val="en-US"/>
        </w:rPr>
        <w:t> </w:t>
      </w:r>
      <w:r>
        <w:rPr>
          <w:color w:val="000000" w:themeColor="text1"/>
          <w:spacing w:val="-4"/>
          <w:sz w:val="24"/>
          <w:szCs w:val="24"/>
        </w:rPr>
        <w:t>В., Дмитренко Г.</w:t>
      </w:r>
      <w:r>
        <w:rPr>
          <w:color w:val="000000" w:themeColor="text1"/>
          <w:spacing w:val="-4"/>
          <w:sz w:val="24"/>
          <w:szCs w:val="24"/>
          <w:lang w:val="en-US"/>
        </w:rPr>
        <w:t> </w:t>
      </w:r>
      <w:r>
        <w:rPr>
          <w:color w:val="000000" w:themeColor="text1"/>
          <w:spacing w:val="-4"/>
          <w:sz w:val="24"/>
          <w:szCs w:val="24"/>
        </w:rPr>
        <w:t xml:space="preserve">А. Підвищення якості трудового потенціалу організацій з врахуванням потреб роботодавця та працівника. </w:t>
      </w:r>
      <w:r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Вчені записки ТНУ імені В.І. Вернадського. Серія: Економіка і управління. </w:t>
      </w:r>
      <w:r>
        <w:rPr>
          <w:color w:val="000000" w:themeColor="text1"/>
          <w:spacing w:val="-4"/>
          <w:sz w:val="24"/>
          <w:szCs w:val="24"/>
        </w:rPr>
        <w:t xml:space="preserve">Том 30 (69). № 6, 2019. С. 43 - 48. </w:t>
      </w:r>
      <w:r>
        <w:fldChar w:fldCharType="begin"/>
      </w:r>
      <w:r>
        <w:instrText xml:space="preserve"> HYPERLINK "http://www.econ.vernadskyjournals.in.ua/journals/2019/30_69_6/30_69_6_2/10.pdf" </w:instrText>
      </w:r>
      <w:r>
        <w:fldChar w:fldCharType="separate"/>
      </w:r>
      <w:r>
        <w:rPr>
          <w:rStyle w:val="9"/>
          <w:spacing w:val="-4"/>
          <w:sz w:val="24"/>
          <w:szCs w:val="24"/>
        </w:rPr>
        <w:t>http://www.econ.vernadskyjournals.in.ua/journals/2019/30_69_6/30_69_6_2/10.pdf</w:t>
      </w:r>
      <w:r>
        <w:rPr>
          <w:rStyle w:val="9"/>
          <w:spacing w:val="-4"/>
          <w:sz w:val="24"/>
          <w:szCs w:val="24"/>
        </w:rPr>
        <w:fldChar w:fldCharType="end"/>
      </w:r>
    </w:p>
    <w:p w14:paraId="06B4C7DB">
      <w:pPr>
        <w:pStyle w:val="72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rFonts w:eastAsia="Arial Unicode MS"/>
          <w:color w:val="000000" w:themeColor="text1"/>
          <w:spacing w:val="-4"/>
          <w:sz w:val="24"/>
          <w:szCs w:val="24"/>
        </w:rPr>
      </w:pP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Головач Н. В., </w:t>
      </w:r>
      <w:r>
        <w:rPr>
          <w:color w:val="000000" w:themeColor="text1"/>
          <w:spacing w:val="-4"/>
          <w:sz w:val="24"/>
          <w:szCs w:val="24"/>
        </w:rPr>
        <w:t xml:space="preserve">Згалат-Лозинська </w:t>
      </w: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Л. О. </w:t>
      </w:r>
      <w:r>
        <w:rPr>
          <w:color w:val="000000"/>
          <w:spacing w:val="-4"/>
          <w:sz w:val="24"/>
          <w:szCs w:val="24"/>
          <w:lang w:eastAsia="uk-UA" w:bidi="uk-UA"/>
        </w:rPr>
        <w:t>Н</w:t>
      </w:r>
      <w:r>
        <w:rPr>
          <w:color w:val="000000"/>
          <w:spacing w:val="-4"/>
          <w:sz w:val="24"/>
          <w:szCs w:val="24"/>
        </w:rPr>
        <w:t xml:space="preserve">апрями підвищення обґрунтованості соціально-трудових нормативів як інструмент реалізації концепції гідної праці. </w:t>
      </w:r>
      <w:r>
        <w:rPr>
          <w:rStyle w:val="11"/>
          <w:b w:val="0"/>
          <w:i/>
          <w:color w:val="000000" w:themeColor="text1"/>
          <w:spacing w:val="-4"/>
          <w:sz w:val="24"/>
          <w:szCs w:val="24"/>
          <w:shd w:val="clear" w:color="auto" w:fill="FFFFFF"/>
        </w:rPr>
        <w:t>Причорноморські економічні студії</w:t>
      </w:r>
      <w:r>
        <w:rPr>
          <w:b/>
          <w:i/>
          <w:color w:val="000000" w:themeColor="text1"/>
          <w:spacing w:val="-4"/>
          <w:sz w:val="24"/>
          <w:szCs w:val="24"/>
          <w:shd w:val="clear" w:color="auto" w:fill="FFFFFF"/>
        </w:rPr>
        <w:t xml:space="preserve">: </w:t>
      </w:r>
      <w:r>
        <w:rPr>
          <w:rStyle w:val="11"/>
          <w:b w:val="0"/>
          <w:i/>
          <w:color w:val="000000" w:themeColor="text1"/>
          <w:spacing w:val="-4"/>
          <w:sz w:val="24"/>
          <w:szCs w:val="24"/>
          <w:shd w:val="clear" w:color="auto" w:fill="FFFFFF"/>
        </w:rPr>
        <w:t xml:space="preserve">економічний науково-практичний журнал. </w:t>
      </w:r>
      <w:r>
        <w:rPr>
          <w:color w:val="000000" w:themeColor="text1"/>
          <w:spacing w:val="-4"/>
          <w:sz w:val="24"/>
          <w:szCs w:val="24"/>
        </w:rPr>
        <w:t xml:space="preserve">Демографія, економіка праці, соціальна економіка і політика. </w:t>
      </w:r>
      <w:r>
        <w:rPr>
          <w:bCs/>
          <w:color w:val="000000" w:themeColor="text1"/>
          <w:spacing w:val="-4"/>
          <w:sz w:val="24"/>
          <w:szCs w:val="24"/>
          <w:shd w:val="clear" w:color="auto" w:fill="FFFFFF"/>
        </w:rPr>
        <w:t>Вип. 49/2020. С. 141-145.</w:t>
      </w:r>
    </w:p>
    <w:p w14:paraId="431FB9B8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Гончарова І. В. HR-менеджмент: практичні рішення для сучасного ринку праці. Львів: Видавництво «Світ», 2024. 312 с. </w:t>
      </w:r>
    </w:p>
    <w:p w14:paraId="3D803692">
      <w:pPr>
        <w:pStyle w:val="77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djustRightInd w:val="0"/>
        <w:spacing w:after="0" w:line="240" w:lineRule="auto"/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Дмитренко Г. А., Головач Н. В., Згалат-Лозинська Л. О. Стратегія розвитку людства. Новий гуманізм в освіті: науково-публіцистичне видання / За заг. ред. Дмитренко Г. А. К.: ДКС-центр, 2021. 257 с. </w:t>
      </w:r>
    </w:p>
    <w:p w14:paraId="10A82CF5">
      <w:pPr>
        <w:pStyle w:val="77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djustRightInd w:val="0"/>
        <w:spacing w:after="0" w:line="240" w:lineRule="auto"/>
        <w:ind w:left="40" w:firstLine="360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Дмитренко Г. А., Головач Н. В., Згалат-Лозинська Л. О., Семенець-Орлова І. А. </w:t>
      </w:r>
      <w:r>
        <w:rPr>
          <w:spacing w:val="-4"/>
          <w:sz w:val="24"/>
          <w:szCs w:val="24"/>
        </w:rPr>
        <w:t>Як зробити освіту в Україні світовим лідером з формування кращих людських якостей: проєктно-публіцистичне видання / Під заг. ред.. Г. А. Дмитренка. К. : ДКС-Центр, 2022. 84 с.</w:t>
      </w:r>
    </w:p>
    <w:p w14:paraId="43FEB958">
      <w:pPr>
        <w:pStyle w:val="77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276"/>
        </w:tabs>
        <w:autoSpaceDE w:val="0"/>
        <w:adjustRightInd w:val="0"/>
        <w:spacing w:after="0" w:line="240" w:lineRule="auto"/>
        <w:ind w:left="40" w:firstLine="360"/>
        <w:jc w:val="both"/>
        <w:rPr>
          <w:b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Дмитренко Г. А., Згалат-Лозинська Л. О., Головач</w:t>
      </w:r>
      <w:r>
        <w:rPr>
          <w:i/>
          <w:spacing w:val="-4"/>
          <w:sz w:val="24"/>
          <w:szCs w:val="24"/>
          <w:lang w:val="ru-RU"/>
        </w:rPr>
        <w:t> </w:t>
      </w:r>
      <w:r>
        <w:rPr>
          <w:i/>
          <w:spacing w:val="-4"/>
          <w:sz w:val="24"/>
          <w:szCs w:val="24"/>
        </w:rPr>
        <w:t>Н. В., Дорошенко Л. С., Лапицька Н. І., Данилюк Л.</w:t>
      </w:r>
      <w:r>
        <w:rPr>
          <w:i/>
          <w:spacing w:val="-4"/>
          <w:sz w:val="24"/>
          <w:szCs w:val="24"/>
          <w:lang w:val="ru-RU"/>
        </w:rPr>
        <w:t> </w:t>
      </w:r>
      <w:r>
        <w:rPr>
          <w:i/>
          <w:spacing w:val="-4"/>
          <w:sz w:val="24"/>
          <w:szCs w:val="24"/>
        </w:rPr>
        <w:t>С., Ріктор Т. Л.</w:t>
      </w:r>
      <w:r>
        <w:rPr>
          <w:spacing w:val="-4"/>
          <w:sz w:val="24"/>
          <w:szCs w:val="24"/>
        </w:rPr>
        <w:t xml:space="preserve"> Науково-технологічні засади формування конкурентоздатного людського капіталу в системі освіти в руслі нового гуманізму:  монографія / Г. А. Дмитренко, Л. О. </w:t>
      </w:r>
      <w:r>
        <w:rPr>
          <w:i/>
          <w:spacing w:val="-4"/>
          <w:sz w:val="24"/>
          <w:szCs w:val="24"/>
        </w:rPr>
        <w:t>Згалат-Лозинська</w:t>
      </w:r>
      <w:r>
        <w:rPr>
          <w:spacing w:val="-4"/>
          <w:sz w:val="24"/>
          <w:szCs w:val="24"/>
        </w:rPr>
        <w:t xml:space="preserve">, Н. В. Головач та ін.; за заг. ред. Г. А. Дмитренка. Київ : </w:t>
      </w:r>
      <w:r>
        <w:rPr>
          <w:spacing w:val="-4"/>
          <w:sz w:val="24"/>
          <w:szCs w:val="24"/>
          <w:shd w:val="clear" w:color="auto" w:fill="FFFFFF"/>
        </w:rPr>
        <w:t>Міжрегіональна Академія управління персоналом</w:t>
      </w:r>
      <w:r>
        <w:rPr>
          <w:spacing w:val="-4"/>
          <w:sz w:val="24"/>
          <w:szCs w:val="24"/>
        </w:rPr>
        <w:t>. 2024. 300 с.</w:t>
      </w:r>
    </w:p>
    <w:p w14:paraId="5AC14272">
      <w:pPr>
        <w:pStyle w:val="77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spacing w:after="0" w:line="240" w:lineRule="auto"/>
        <w:ind w:left="40" w:firstLine="360"/>
        <w:jc w:val="both"/>
        <w:rPr>
          <w:b/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 xml:space="preserve">Дмитренко Г.А., Головач Н.В., Головач Д.М., Згалат-Лозинська Л.О., Олійник В.В., Помиткін Е.О., Семенець-Орлова І.А. Інноваційний розвиток людства на зламі часу: український системний шлях: науково-публіцистичне видання / За заг. ред. Г.А. Дмитренка, В.В. Олійника. К.: </w:t>
      </w:r>
      <w:r>
        <w:rPr>
          <w:rFonts w:eastAsia="Times New Roman"/>
          <w:spacing w:val="-4"/>
          <w:sz w:val="24"/>
          <w:szCs w:val="24"/>
          <w:lang w:eastAsia="ru-RU"/>
        </w:rPr>
        <w:t>ДКС-Центр</w:t>
      </w:r>
      <w:r>
        <w:rPr>
          <w:rFonts w:eastAsia="Times New Roman"/>
          <w:spacing w:val="-4"/>
          <w:sz w:val="24"/>
          <w:szCs w:val="24"/>
          <w:lang w:val="ru-RU" w:eastAsia="ru-RU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2024.  242 с.</w:t>
      </w:r>
    </w:p>
    <w:p w14:paraId="6FD3634C">
      <w:pPr>
        <w:pStyle w:val="72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bCs/>
          <w:color w:val="000000" w:themeColor="text1"/>
          <w:spacing w:val="-4"/>
          <w:sz w:val="24"/>
          <w:szCs w:val="24"/>
          <w:shd w:val="clear" w:color="auto" w:fill="FFFFFF"/>
        </w:rPr>
      </w:pPr>
      <w:r>
        <w:rPr>
          <w:spacing w:val="-4"/>
          <w:sz w:val="24"/>
          <w:szCs w:val="24"/>
        </w:rPr>
        <w:t>Дмитренко Г. А., Головач Н. В. Можливості підвищення конкурентоспроможності економіки з опорю на людські ресурси. Наукові праці МАУП. Серія Економічні науки, Випуск 1 (59), 2020.  С.24-31.</w:t>
      </w:r>
    </w:p>
    <w:p w14:paraId="3329BE04">
      <w:pPr>
        <w:pStyle w:val="72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rFonts w:eastAsia="Arial Unicode MS"/>
          <w:color w:val="000000" w:themeColor="text1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Дмитренко Г. А., Головач Н. В. Людиноцентрична сутність економічного розвитку. Економіка та суспільство. </w:t>
      </w:r>
      <w:r>
        <w:rPr>
          <w:color w:val="000000"/>
          <w:spacing w:val="-4"/>
          <w:sz w:val="24"/>
          <w:szCs w:val="24"/>
          <w:shd w:val="clear" w:color="auto" w:fill="FFFFFF"/>
        </w:rPr>
        <w:t>Випуск № 29 / 2021. </w:t>
      </w:r>
      <w:r>
        <w:fldChar w:fldCharType="begin"/>
      </w:r>
      <w:r>
        <w:instrText xml:space="preserve"> HYPERLINK "https://doi.org/10.32782/2524-0072/2021-29-8" \t "_blank" </w:instrText>
      </w:r>
      <w:r>
        <w:fldChar w:fldCharType="separate"/>
      </w:r>
      <w:r>
        <w:rPr>
          <w:rStyle w:val="9"/>
          <w:spacing w:val="-4"/>
          <w:sz w:val="24"/>
          <w:szCs w:val="24"/>
        </w:rPr>
        <w:t>https://doi.org/10.32782/2524-0072/2021-29-8</w:t>
      </w:r>
      <w:r>
        <w:rPr>
          <w:rStyle w:val="9"/>
          <w:spacing w:val="-4"/>
          <w:sz w:val="24"/>
          <w:szCs w:val="24"/>
        </w:rPr>
        <w:fldChar w:fldCharType="end"/>
      </w:r>
    </w:p>
    <w:p w14:paraId="13C68088">
      <w:pPr>
        <w:pStyle w:val="72"/>
        <w:numPr>
          <w:ilvl w:val="0"/>
          <w:numId w:val="3"/>
        </w:numPr>
        <w:shd w:val="clear" w:color="auto" w:fill="FFFFFF"/>
        <w:tabs>
          <w:tab w:val="left" w:pos="567"/>
          <w:tab w:val="left" w:pos="601"/>
          <w:tab w:val="left" w:pos="851"/>
          <w:tab w:val="left" w:pos="993"/>
        </w:tabs>
        <w:suppressAutoHyphens w:val="0"/>
        <w:ind w:left="40" w:firstLine="360"/>
        <w:jc w:val="both"/>
        <w:rPr>
          <w:rFonts w:eastAsia="Arial Unicode MS"/>
          <w:color w:val="000000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Дмитренко Г. А., Головач Н. В., Згалат-Лозинська Л. О. Людиноцентрична економіка: роль якості людського потенціалу в економічному зростанні та занепаді України і світу / Г. А. Дмитренко, Н. В. Головач, Л. О. Згалат-Лозинська // Наукові праці Міжрегіональної Академії управління персоналом. Економічні науки. – 2025. – № 3(79). – С. 19-27. – DOI: </w:t>
      </w:r>
      <w:r>
        <w:fldChar w:fldCharType="begin"/>
      </w:r>
      <w:r>
        <w:instrText xml:space="preserve"> HYPERLINK "https://doi.org/10.32689/2523-4536/79-2" \t "_new" </w:instrText>
      </w:r>
      <w:r>
        <w:fldChar w:fldCharType="separate"/>
      </w:r>
      <w:r>
        <w:rPr>
          <w:rStyle w:val="9"/>
          <w:spacing w:val="-4"/>
          <w:sz w:val="24"/>
          <w:szCs w:val="24"/>
        </w:rPr>
        <w:t>https://doi.org/10.32689/2523-4536/79-2</w:t>
      </w:r>
      <w:r>
        <w:rPr>
          <w:rStyle w:val="9"/>
          <w:spacing w:val="-4"/>
          <w:sz w:val="24"/>
          <w:szCs w:val="24"/>
        </w:rPr>
        <w:fldChar w:fldCharType="end"/>
      </w:r>
    </w:p>
    <w:p w14:paraId="6C3AA780">
      <w:pPr>
        <w:pStyle w:val="7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 w:val="0"/>
        <w:ind w:left="40" w:firstLine="360"/>
        <w:jc w:val="both"/>
        <w:rPr>
          <w:rFonts w:eastAsia="Arial Unicode MS"/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 xml:space="preserve">Згалат-Лозинська </w:t>
      </w: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Л. О., Головач Н. В. </w:t>
      </w:r>
      <w:r>
        <w:rPr>
          <w:color w:val="000000" w:themeColor="text1"/>
          <w:spacing w:val="-4"/>
          <w:sz w:val="24"/>
          <w:szCs w:val="24"/>
          <w:lang w:eastAsia="uk-UA"/>
        </w:rPr>
        <w:t>Метод оцінки розвитку управлінського персоналу на вітчизняних підприємствах</w:t>
      </w:r>
      <w:r>
        <w:rPr>
          <w:rFonts w:eastAsia="Arial Unicode MS"/>
          <w:color w:val="000000" w:themeColor="text1"/>
          <w:spacing w:val="-4"/>
          <w:sz w:val="24"/>
          <w:szCs w:val="24"/>
        </w:rPr>
        <w:t xml:space="preserve">. </w:t>
      </w:r>
      <w:r>
        <w:rPr>
          <w:color w:val="000000" w:themeColor="text1"/>
          <w:spacing w:val="-4"/>
          <w:sz w:val="24"/>
          <w:szCs w:val="24"/>
          <w:lang w:eastAsia="uk-UA"/>
        </w:rPr>
        <w:t xml:space="preserve">Інноваційна економіка. 2018. №9-10 [77]. С.69-74. </w:t>
      </w:r>
      <w:r>
        <w:fldChar w:fldCharType="begin"/>
      </w:r>
      <w:r>
        <w:instrText xml:space="preserve"> HYPERLINK "http://inneco.org/index.php/innecoua/article/view/336" </w:instrText>
      </w:r>
      <w:r>
        <w:fldChar w:fldCharType="separate"/>
      </w:r>
      <w:r>
        <w:rPr>
          <w:rStyle w:val="9"/>
          <w:spacing w:val="-4"/>
          <w:sz w:val="24"/>
          <w:szCs w:val="24"/>
        </w:rPr>
        <w:t>http://inneco.org/index.php/innecoua/article/view/336</w:t>
      </w:r>
      <w:r>
        <w:rPr>
          <w:rStyle w:val="9"/>
          <w:spacing w:val="-4"/>
          <w:sz w:val="24"/>
          <w:szCs w:val="24"/>
        </w:rPr>
        <w:fldChar w:fldCharType="end"/>
      </w:r>
    </w:p>
    <w:p w14:paraId="411A622E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Климчук А. О. Управління підприємством в системі оцінки, мотивації та стимулювання персоналу: монографія. Хмельницький: ХНУ, 2018. 283 с. </w:t>
      </w:r>
    </w:p>
    <w:p w14:paraId="1597AB00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Ковальчук К. Ф., та ін. Управління персоналом: навчальний посібник. Дніпро: Акцент ПП, 2019. 302 с. </w:t>
      </w:r>
    </w:p>
    <w:p w14:paraId="5E6EFE37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Ковальчук Н. В. Технології HR-аналітики: інтеграція в управлінську діяльність. Київ: КНЕУ, 2024. 298 с. </w:t>
      </w:r>
    </w:p>
    <w:p w14:paraId="05DB17AD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Комунікатор і управлінець: сучасні функції HR-менеджера. URL: https://ares.by/blog/kommunikator_i_upravlenets_sovremennye_funktsii_hrmenedjera (дата звернення 30.08.24). </w:t>
      </w:r>
    </w:p>
    <w:p w14:paraId="58B6F708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Лазоренко Л. Особливості сучасного управління людськими ресурсами. URL: http://www.personal.in.ua/article.php?ida=635 (дата звернення 30.08.24). </w:t>
      </w:r>
    </w:p>
    <w:p w14:paraId="549FA0D3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Маркович О. Л. Управління персоналом у нових економічних реаліях. Дніпро: Університет економіки та права, 2024. 260 с. 13 </w:t>
      </w:r>
    </w:p>
    <w:p w14:paraId="7697AA4D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Палеха Ю. І. Менеджмент персоналу: навчальний посібник. Київ: Ліра-К, 2016. 336 с. </w:t>
      </w:r>
    </w:p>
    <w:p w14:paraId="494D3B41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Петруня Ю. Є., Коляда С. П., Ковтун Н. С. HRM. Практикум: навчальний посібник. Дніпропетровськ: Університет митної справи та фінансів, 2016. 211 с. </w:t>
      </w:r>
    </w:p>
    <w:p w14:paraId="31AEC8E9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Поліщук І. І., Швед В. В. Управління персоналом: навчально-методичний посібник. Вінниця: Твори, 2019. 283 с. </w:t>
      </w:r>
    </w:p>
    <w:p w14:paraId="6935B78B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Сидоренко В.О. Цифрова трансформація в HR: інноваційні підходи. Харків: ХНУРЕ, 2024. 285с. </w:t>
      </w:r>
    </w:p>
    <w:p w14:paraId="49A99759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Система HRM організації, що розвивається. URL: http://library.if.ua/book/34/2302.html (дата звернення 30.08.24). </w:t>
      </w:r>
    </w:p>
    <w:p w14:paraId="3A7A9083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Сучасні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 xml:space="preserve"> HR-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навички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 xml:space="preserve">. Talent Management. 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URL: https://www.talentmanagement.com.ua/4644-4644-hr-skills (дата звернення 30.08.23). </w:t>
      </w:r>
    </w:p>
    <w:p w14:paraId="1ED7BD8F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Тарасевич О. В. Управління персоналом промислових підприємств: системноорієнтований підхід: монографія. Вінниця: Нілан, 2017. 397 с. </w:t>
      </w:r>
    </w:p>
    <w:p w14:paraId="632FF951">
      <w:pPr>
        <w:pStyle w:val="2"/>
        <w:numPr>
          <w:ilvl w:val="0"/>
          <w:numId w:val="3"/>
        </w:numPr>
        <w:tabs>
          <w:tab w:val="left" w:pos="567"/>
        </w:tabs>
        <w:spacing w:before="0" w:after="0"/>
        <w:ind w:left="40" w:firstLine="360"/>
        <w:jc w:val="both"/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 xml:space="preserve">Тренди в HR: нова реальність 2021 року. URL 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http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:/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peopleforce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io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uk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blog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trendi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hr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nova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realnist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-2021-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</w:rPr>
        <w:t>roku</w:t>
      </w:r>
      <w:r>
        <w:rPr>
          <w:rFonts w:ascii="Times New Roman" w:hAnsi="Times New Roman" w:eastAsia="Times New Roman" w:cs="Times New Roman"/>
          <w:b w:val="0"/>
          <w:iCs/>
          <w:spacing w:val="-4"/>
          <w:sz w:val="24"/>
          <w:szCs w:val="24"/>
          <w:lang w:val="ru-RU"/>
        </w:rPr>
        <w:t>-2/ (дата звернення 30.08.24).</w:t>
      </w:r>
    </w:p>
    <w:p w14:paraId="17B9EC9A">
      <w:pPr>
        <w:pStyle w:val="77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spacing w:after="0" w:line="240" w:lineRule="auto"/>
        <w:ind w:left="40" w:firstLine="360"/>
        <w:jc w:val="both"/>
        <w:rPr>
          <w:b/>
          <w:color w:val="7030A0"/>
          <w:spacing w:val="-4"/>
          <w:sz w:val="24"/>
          <w:szCs w:val="24"/>
          <w:u w:val="single"/>
        </w:rPr>
      </w:pPr>
      <w:r>
        <w:rPr>
          <w:spacing w:val="-4"/>
          <w:sz w:val="24"/>
          <w:szCs w:val="24"/>
          <w:shd w:val="clear" w:color="auto" w:fill="FFFFFF"/>
        </w:rPr>
        <w:t>Nataliia</w:t>
      </w:r>
      <w:r>
        <w:rPr>
          <w:spacing w:val="-4"/>
          <w:sz w:val="24"/>
          <w:szCs w:val="24"/>
          <w:shd w:val="clear" w:color="auto" w:fill="FFFFFF"/>
          <w:lang w:val="en-US"/>
        </w:rPr>
        <w:t xml:space="preserve"> H</w:t>
      </w:r>
      <w:r>
        <w:rPr>
          <w:spacing w:val="-4"/>
          <w:sz w:val="24"/>
          <w:szCs w:val="24"/>
          <w:shd w:val="clear" w:color="auto" w:fill="FFFFFF"/>
        </w:rPr>
        <w:t xml:space="preserve">olovach, </w:t>
      </w:r>
      <w:r>
        <w:rPr>
          <w:rFonts w:eastAsia="Times New Roman"/>
          <w:spacing w:val="-4"/>
          <w:sz w:val="24"/>
          <w:szCs w:val="24"/>
          <w:lang w:val="en-US" w:eastAsia="ru-RU"/>
        </w:rPr>
        <w:t>Ivan Bakhov</w:t>
      </w:r>
      <w:r>
        <w:rPr>
          <w:rFonts w:eastAsia="Times New Roman"/>
          <w:spacing w:val="-4"/>
          <w:sz w:val="24"/>
          <w:szCs w:val="24"/>
          <w:lang w:eastAsia="ru-RU"/>
        </w:rPr>
        <w:t xml:space="preserve">, </w:t>
      </w:r>
      <w:r>
        <w:rPr>
          <w:spacing w:val="-4"/>
          <w:sz w:val="24"/>
          <w:szCs w:val="24"/>
        </w:rPr>
        <w:t>Liubov</w:t>
      </w:r>
      <w:r>
        <w:rPr>
          <w:spacing w:val="-4"/>
          <w:sz w:val="24"/>
          <w:szCs w:val="24"/>
          <w:shd w:val="clear" w:color="auto" w:fill="FFFFFF"/>
        </w:rPr>
        <w:t xml:space="preserve"> Zgalat-Lоzynska. (2019) </w:t>
      </w:r>
      <w:r>
        <w:rPr>
          <w:spacing w:val="-4"/>
          <w:sz w:val="24"/>
          <w:szCs w:val="24"/>
          <w:lang w:val="en-US"/>
        </w:rPr>
        <w:t xml:space="preserve">An </w:t>
      </w:r>
      <w:r>
        <w:rPr>
          <w:iCs/>
          <w:spacing w:val="-4"/>
          <w:sz w:val="24"/>
          <w:szCs w:val="24"/>
          <w:lang w:val="en-US"/>
        </w:rPr>
        <w:t>innovation-driven model for management personnel development at enterprises</w:t>
      </w:r>
      <w:r>
        <w:rPr>
          <w:iCs/>
          <w:spacing w:val="-4"/>
          <w:sz w:val="24"/>
          <w:szCs w:val="24"/>
        </w:rPr>
        <w:t xml:space="preserve">. </w:t>
      </w:r>
      <w:r>
        <w:rPr>
          <w:rStyle w:val="7"/>
          <w:spacing w:val="-4"/>
          <w:sz w:val="24"/>
          <w:szCs w:val="24"/>
          <w:shd w:val="clear" w:color="auto" w:fill="FFFFFF"/>
        </w:rPr>
        <w:t>Journal of Advanced Research in Dynamical and Control Systems</w:t>
      </w:r>
      <w:r>
        <w:rPr>
          <w:i/>
          <w:spacing w:val="-4"/>
          <w:sz w:val="24"/>
          <w:szCs w:val="24"/>
        </w:rPr>
        <w:t xml:space="preserve">, Vol. 11, 12-Special Issue: </w:t>
      </w:r>
      <w:r>
        <w:rPr>
          <w:rFonts w:eastAsiaTheme="minorHAnsi"/>
          <w:spacing w:val="-4"/>
          <w:sz w:val="24"/>
          <w:szCs w:val="24"/>
          <w:lang w:val="en-US"/>
        </w:rPr>
        <w:t>1</w:t>
      </w:r>
      <w:r>
        <w:rPr>
          <w:rFonts w:eastAsiaTheme="minorHAnsi"/>
          <w:spacing w:val="-4"/>
          <w:sz w:val="24"/>
          <w:szCs w:val="24"/>
        </w:rPr>
        <w:t xml:space="preserve">266 </w:t>
      </w:r>
      <w:r>
        <w:rPr>
          <w:rFonts w:eastAsiaTheme="minorHAnsi"/>
          <w:spacing w:val="-4"/>
          <w:sz w:val="24"/>
          <w:szCs w:val="24"/>
          <w:lang w:val="en-US"/>
        </w:rPr>
        <w:t>- 1</w:t>
      </w:r>
      <w:r>
        <w:rPr>
          <w:rFonts w:eastAsiaTheme="minorHAnsi"/>
          <w:spacing w:val="-4"/>
          <w:sz w:val="24"/>
          <w:szCs w:val="24"/>
        </w:rPr>
        <w:t>277</w:t>
      </w:r>
      <w:r>
        <w:rPr>
          <w:rFonts w:eastAsiaTheme="minorHAnsi"/>
          <w:spacing w:val="-4"/>
          <w:sz w:val="24"/>
          <w:szCs w:val="24"/>
          <w:lang w:val="en-US"/>
        </w:rPr>
        <w:t>.</w:t>
      </w:r>
      <w:r>
        <w:rPr>
          <w:rFonts w:eastAsiaTheme="minorHAnsi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DOI: 10.5373/JARDCS/V11SP12/20193335</w:t>
      </w:r>
      <w:r>
        <w:rPr>
          <w:rFonts w:eastAsia="Times New Roman"/>
          <w:spacing w:val="-4"/>
          <w:sz w:val="24"/>
          <w:szCs w:val="24"/>
          <w:lang w:eastAsia="uk-UA"/>
        </w:rPr>
        <w:t xml:space="preserve"> </w:t>
      </w:r>
      <w:r>
        <w:fldChar w:fldCharType="begin"/>
      </w:r>
      <w:r>
        <w:instrText xml:space="preserve"> HYPERLINK "https://www.jardcs.org/abstract.php?id=3453" </w:instrText>
      </w:r>
      <w:r>
        <w:fldChar w:fldCharType="separate"/>
      </w:r>
      <w:r>
        <w:rPr>
          <w:rStyle w:val="9"/>
          <w:rFonts w:eastAsia="Times New Roman"/>
          <w:spacing w:val="-4"/>
          <w:sz w:val="24"/>
          <w:szCs w:val="24"/>
          <w:lang w:eastAsia="uk-UA"/>
        </w:rPr>
        <w:t>https://www.jardcs.org/abstract.php?id=3453#</w:t>
      </w:r>
      <w:r>
        <w:rPr>
          <w:rStyle w:val="9"/>
          <w:rFonts w:eastAsia="Times New Roman"/>
          <w:spacing w:val="-4"/>
          <w:sz w:val="24"/>
          <w:szCs w:val="24"/>
          <w:lang w:eastAsia="uk-UA"/>
        </w:rPr>
        <w:fldChar w:fldCharType="end"/>
      </w:r>
      <w:r>
        <w:rPr>
          <w:spacing w:val="-4"/>
          <w:sz w:val="24"/>
          <w:szCs w:val="24"/>
        </w:rPr>
        <w:t xml:space="preserve"> </w:t>
      </w:r>
    </w:p>
    <w:p w14:paraId="74ED2A39">
      <w:pPr>
        <w:pStyle w:val="77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spacing w:after="0" w:line="240" w:lineRule="auto"/>
        <w:ind w:left="40" w:firstLine="360"/>
        <w:jc w:val="both"/>
        <w:rPr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 xml:space="preserve">Khang, A., Semenets-Orlova, I., Dmytrenko, H., Holovach, N., Zgalat-Lozynska, L., &amp; Shevchuk, R. (2024). Human-Centered Approach as a Methodological Tendency of Personnel Management in Workplace. In AI-Oriented Competency Framework for Talent Management in the Digital Economy (pp. 416-432). CRC Press, </w:t>
      </w:r>
      <w:r>
        <w:fldChar w:fldCharType="begin"/>
      </w:r>
      <w:r>
        <w:instrText xml:space="preserve"> HYPERLINK "https://doi.org/10.1201/9781003440901" </w:instrText>
      </w:r>
      <w:r>
        <w:fldChar w:fldCharType="separate"/>
      </w:r>
      <w:r>
        <w:rPr>
          <w:rStyle w:val="9"/>
          <w:spacing w:val="-4"/>
          <w:sz w:val="24"/>
          <w:szCs w:val="24"/>
        </w:rPr>
        <w:t>https://doi.org/10.1201/9781003440901</w:t>
      </w:r>
      <w:r>
        <w:rPr>
          <w:rStyle w:val="9"/>
          <w:spacing w:val="-4"/>
          <w:sz w:val="24"/>
          <w:szCs w:val="24"/>
        </w:rPr>
        <w:fldChar w:fldCharType="end"/>
      </w:r>
      <w:r>
        <w:rPr>
          <w:color w:val="000000" w:themeColor="text1"/>
          <w:spacing w:val="-4"/>
          <w:sz w:val="24"/>
          <w:szCs w:val="24"/>
        </w:rPr>
        <w:t>.</w:t>
      </w:r>
    </w:p>
    <w:p w14:paraId="3C134416">
      <w:pPr>
        <w:tabs>
          <w:tab w:val="left" w:pos="567"/>
        </w:tabs>
        <w:ind w:firstLine="360"/>
        <w:jc w:val="both"/>
        <w:rPr>
          <w:rFonts w:eastAsia="SimSun"/>
          <w:spacing w:val="-4"/>
          <w:sz w:val="24"/>
          <w:szCs w:val="24"/>
          <w:lang w:eastAsia="zh-CN"/>
        </w:rPr>
      </w:pPr>
    </w:p>
    <w:p w14:paraId="622E6DF9">
      <w:pPr>
        <w:tabs>
          <w:tab w:val="left" w:pos="0"/>
          <w:tab w:val="left" w:pos="567"/>
        </w:tabs>
        <w:ind w:left="360"/>
        <w:jc w:val="center"/>
        <w:rPr>
          <w:rFonts w:eastAsia="SimSun"/>
          <w:b/>
          <w:i/>
          <w:spacing w:val="-4"/>
          <w:sz w:val="24"/>
          <w:szCs w:val="24"/>
          <w:lang w:val="uk-UA" w:eastAsia="zh-CN"/>
        </w:rPr>
      </w:pPr>
      <w:r>
        <w:rPr>
          <w:rFonts w:eastAsia="SimSun"/>
          <w:b/>
          <w:i/>
          <w:spacing w:val="-4"/>
          <w:sz w:val="24"/>
          <w:szCs w:val="24"/>
          <w:lang w:val="uk-UA" w:eastAsia="zh-CN"/>
        </w:rPr>
        <w:t>Інформаційні ресурси:</w:t>
      </w:r>
    </w:p>
    <w:p w14:paraId="2EF12568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Бібліотека проєкту «Реформа управління персоналом на державній службі в Україні». URL : http://www.ucs-hrm.org.ua/elektronna-biblioteka/ (дата звернення 30.08.24). </w:t>
      </w:r>
    </w:p>
    <w:p w14:paraId="03BFD748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Вітчизняний інтернет-портал для управлінців, розділ «Персонал» наповнюється статтями та матеріалами для практичного застосування у HRменеджменті. URL : http://www.management.com.ua/hrm/ (дата звернення 30.08.24). </w:t>
      </w:r>
    </w:p>
    <w:p w14:paraId="1A35C947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Проєкт «HR in UA» – авторський сайт українського HR-менеджера Інни Жигадло. URL : http://zhinna.wordpress.com/ (дата звернення 30.08.24). </w:t>
      </w:r>
    </w:p>
    <w:p w14:paraId="4A810A76">
      <w:pPr>
        <w:pStyle w:val="72"/>
        <w:numPr>
          <w:ilvl w:val="0"/>
          <w:numId w:val="3"/>
        </w:numPr>
        <w:tabs>
          <w:tab w:val="left" w:pos="0"/>
          <w:tab w:val="left" w:pos="567"/>
        </w:tabs>
        <w:ind w:left="40" w:firstLine="360"/>
        <w:jc w:val="both"/>
        <w:rPr>
          <w:rFonts w:eastAsia="SimSun"/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</w:rPr>
        <w:t>Проєкт «HR-кав'ярня» Львівського клубу менеджерів з персоналу. URL : http://hr-kavjarnia.com.ua/ (дата звернення 30.08.24).</w:t>
      </w:r>
    </w:p>
    <w:sectPr>
      <w:headerReference r:id="rId4" w:type="first"/>
      <w:headerReference r:id="rId3" w:type="default"/>
      <w:pgSz w:w="11906" w:h="16838"/>
      <w:pgMar w:top="934" w:right="605" w:bottom="1134" w:left="1101" w:header="709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86B2F">
    <w:pPr>
      <w:pStyle w:val="14"/>
      <w:jc w:val="right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>
      <w:rPr>
        <w:lang w:val="uk-UA"/>
      </w:rPr>
      <w:t>10</w:t>
    </w:r>
    <w:r>
      <w:rPr>
        <w:lang w:val="uk-UA"/>
      </w:rPr>
      <w:fldChar w:fldCharType="end"/>
    </w:r>
  </w:p>
  <w:p w14:paraId="21BC0CA8">
    <w:pPr>
      <w:pStyle w:val="14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45C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93A0BB6"/>
    <w:multiLevelType w:val="multilevel"/>
    <w:tmpl w:val="193A0BB6"/>
    <w:lvl w:ilvl="0" w:tentative="0">
      <w:start w:val="0"/>
      <w:numFmt w:val="bullet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1C2A25DA"/>
    <w:multiLevelType w:val="multilevel"/>
    <w:tmpl w:val="1C2A25DA"/>
    <w:lvl w:ilvl="0" w:tentative="0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182E"/>
    <w:rsid w:val="00000F83"/>
    <w:rsid w:val="00007373"/>
    <w:rsid w:val="0005245E"/>
    <w:rsid w:val="00082A82"/>
    <w:rsid w:val="000E470E"/>
    <w:rsid w:val="001044B0"/>
    <w:rsid w:val="00125A11"/>
    <w:rsid w:val="00205A98"/>
    <w:rsid w:val="003019E6"/>
    <w:rsid w:val="003C2F8D"/>
    <w:rsid w:val="00431046"/>
    <w:rsid w:val="00454C26"/>
    <w:rsid w:val="004A0014"/>
    <w:rsid w:val="004A1D3E"/>
    <w:rsid w:val="005033DD"/>
    <w:rsid w:val="00537E1F"/>
    <w:rsid w:val="0058682A"/>
    <w:rsid w:val="0058726D"/>
    <w:rsid w:val="006911A1"/>
    <w:rsid w:val="006B182E"/>
    <w:rsid w:val="006E52FD"/>
    <w:rsid w:val="0075005D"/>
    <w:rsid w:val="007A0BAB"/>
    <w:rsid w:val="00885654"/>
    <w:rsid w:val="008D6E19"/>
    <w:rsid w:val="009458B5"/>
    <w:rsid w:val="00971859"/>
    <w:rsid w:val="009B4305"/>
    <w:rsid w:val="009E4A4A"/>
    <w:rsid w:val="00A24195"/>
    <w:rsid w:val="00AC2448"/>
    <w:rsid w:val="00B02355"/>
    <w:rsid w:val="00B8048A"/>
    <w:rsid w:val="00C50630"/>
    <w:rsid w:val="00C52C5A"/>
    <w:rsid w:val="00C92A34"/>
    <w:rsid w:val="00CA0138"/>
    <w:rsid w:val="00CB5E11"/>
    <w:rsid w:val="00CC6266"/>
    <w:rsid w:val="00CD7C4D"/>
    <w:rsid w:val="00CE655E"/>
    <w:rsid w:val="00D67D93"/>
    <w:rsid w:val="00D762A7"/>
    <w:rsid w:val="00DD3314"/>
    <w:rsid w:val="00E00C13"/>
    <w:rsid w:val="00E04A60"/>
    <w:rsid w:val="00E40E7B"/>
    <w:rsid w:val="00E615EF"/>
    <w:rsid w:val="00E823BF"/>
    <w:rsid w:val="00E93627"/>
    <w:rsid w:val="00F60B7D"/>
    <w:rsid w:val="00F677EB"/>
    <w:rsid w:val="00FA78BC"/>
    <w:rsid w:val="00FD2F7A"/>
    <w:rsid w:val="00FE5223"/>
    <w:rsid w:val="02EE1339"/>
    <w:rsid w:val="12BE7343"/>
    <w:rsid w:val="1CD63A5F"/>
    <w:rsid w:val="31274782"/>
    <w:rsid w:val="41B6005B"/>
    <w:rsid w:val="498A7FB7"/>
    <w:rsid w:val="5B122177"/>
    <w:rsid w:val="79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280" w:after="280"/>
      <w:outlineLvl w:val="0"/>
    </w:pPr>
    <w:rPr>
      <w:rFonts w:ascii="SimSun" w:hAnsi="SimSun" w:eastAsia="SimSun" w:cs="SimSun"/>
      <w:b/>
      <w:bCs/>
      <w:kern w:val="2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4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8"/>
    <w:qFormat/>
    <w:uiPriority w:val="20"/>
    <w:rPr>
      <w:rFonts w:cs="Times New Roman"/>
      <w:i/>
      <w:iCs/>
    </w:rPr>
  </w:style>
  <w:style w:type="character" w:customStyle="1" w:styleId="8">
    <w:name w:val="Основной шрифт абзаца1"/>
    <w:qFormat/>
    <w:uiPriority w:val="0"/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Strong"/>
    <w:basedOn w:val="5"/>
    <w:qFormat/>
    <w:uiPriority w:val="22"/>
    <w:rPr>
      <w:b/>
      <w:bCs/>
    </w:rPr>
  </w:style>
  <w:style w:type="paragraph" w:styleId="12">
    <w:name w:val="Balloon Text"/>
    <w:basedOn w:val="1"/>
    <w:link w:val="5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spacing w:after="120"/>
      <w:ind w:left="283"/>
    </w:pPr>
  </w:style>
  <w:style w:type="paragraph" w:styleId="17">
    <w:name w:val="Title"/>
    <w:basedOn w:val="1"/>
    <w:next w:val="1"/>
    <w:link w:val="74"/>
    <w:qFormat/>
    <w:uiPriority w:val="0"/>
    <w:pPr>
      <w:jc w:val="center"/>
    </w:pPr>
    <w:rPr>
      <w:b/>
      <w:sz w:val="28"/>
      <w:lang w:val="uk-UA" w:eastAsia="ar-SA"/>
    </w:rPr>
  </w:style>
  <w:style w:type="paragraph" w:styleId="18">
    <w:name w:val="List"/>
    <w:basedOn w:val="15"/>
    <w:qFormat/>
    <w:uiPriority w:val="0"/>
    <w:rPr>
      <w:rFonts w:cs="Arial"/>
    </w:rPr>
  </w:style>
  <w:style w:type="paragraph" w:styleId="19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next w:val="1"/>
    <w:link w:val="7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2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eastAsia="SimSun" w:cs="SimSun"/>
      <w:sz w:val="24"/>
      <w:szCs w:val="24"/>
      <w:lang w:val="en-US" w:eastAsia="zh-CN"/>
    </w:rPr>
  </w:style>
  <w:style w:type="table" w:styleId="22">
    <w:name w:val="Table Grid"/>
    <w:basedOn w:val="6"/>
    <w:qFormat/>
    <w:uiPriority w:val="39"/>
    <w:rPr>
      <w:rFonts w:asciiTheme="minorHAnsi" w:hAnsiTheme="minorHAnsi" w:eastAsiaTheme="minorHAnsi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WW8Num2z0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4">
    <w:name w:val="WW8Num2z1"/>
    <w:qFormat/>
    <w:uiPriority w:val="0"/>
    <w:rPr>
      <w:rFonts w:cs="Times New Roman"/>
    </w:rPr>
  </w:style>
  <w:style w:type="character" w:customStyle="1" w:styleId="25">
    <w:name w:val="WW8Num3z0"/>
    <w:qFormat/>
    <w:uiPriority w:val="0"/>
    <w:rPr>
      <w:rFonts w:cs="Times New Roman"/>
    </w:rPr>
  </w:style>
  <w:style w:type="character" w:customStyle="1" w:styleId="26">
    <w:name w:val="WW8Num1z0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7">
    <w:name w:val="WW8Num1z1"/>
    <w:qFormat/>
    <w:uiPriority w:val="0"/>
    <w:rPr>
      <w:rFonts w:cs="Times New Roman"/>
    </w:rPr>
  </w:style>
  <w:style w:type="character" w:customStyle="1" w:styleId="28">
    <w:name w:val="WW8Num3z1"/>
    <w:qFormat/>
    <w:uiPriority w:val="0"/>
    <w:rPr>
      <w:rFonts w:hint="default" w:ascii="Courier New" w:hAnsi="Courier New" w:cs="Courier New"/>
    </w:rPr>
  </w:style>
  <w:style w:type="character" w:customStyle="1" w:styleId="29">
    <w:name w:val="WW8Num3z2"/>
    <w:qFormat/>
    <w:uiPriority w:val="0"/>
    <w:rPr>
      <w:rFonts w:hint="default" w:ascii="Wingdings" w:hAnsi="Wingdings" w:cs="Wingdings"/>
    </w:rPr>
  </w:style>
  <w:style w:type="character" w:customStyle="1" w:styleId="30">
    <w:name w:val="Основной текст (2)_"/>
    <w:qFormat/>
    <w:uiPriority w:val="0"/>
    <w:rPr>
      <w:rFonts w:ascii="Arial Narrow" w:hAnsi="Arial Narrow" w:cs="Arial Narrow"/>
      <w:b/>
      <w:sz w:val="15"/>
      <w:shd w:val="clear" w:color="auto" w:fill="FFFFFF"/>
    </w:rPr>
  </w:style>
  <w:style w:type="character" w:customStyle="1" w:styleId="31">
    <w:name w:val="apple-converted-space"/>
    <w:basedOn w:val="8"/>
    <w:qFormat/>
    <w:uiPriority w:val="0"/>
    <w:rPr>
      <w:rFonts w:cs="Times New Roman"/>
    </w:rPr>
  </w:style>
  <w:style w:type="character" w:customStyle="1" w:styleId="32">
    <w:name w:val="Основной текст (3) + Не полужирный"/>
    <w:qFormat/>
    <w:uiPriority w:val="0"/>
    <w:rPr>
      <w:rFonts w:ascii="Times New Roman" w:hAnsi="Times New Roman" w:cs="Times New Roman"/>
      <w:b/>
      <w:color w:val="000000"/>
      <w:spacing w:val="0"/>
      <w:w w:val="100"/>
      <w:position w:val="0"/>
      <w:sz w:val="24"/>
      <w:u w:val="none"/>
      <w:vertAlign w:val="baseline"/>
      <w:lang w:val="uk-UA" w:eastAsia="uk-UA"/>
    </w:rPr>
  </w:style>
  <w:style w:type="character" w:customStyle="1" w:styleId="33">
    <w:name w:val="docdata1"/>
    <w:basedOn w:val="8"/>
    <w:qFormat/>
    <w:uiPriority w:val="0"/>
    <w:rPr>
      <w:rFonts w:ascii="Times New Roman" w:hAnsi="Times New Roman" w:cs="Times New Roman"/>
    </w:rPr>
  </w:style>
  <w:style w:type="character" w:customStyle="1" w:styleId="34">
    <w:name w:val="xfmc2"/>
    <w:basedOn w:val="8"/>
    <w:qFormat/>
    <w:uiPriority w:val="0"/>
    <w:rPr>
      <w:rFonts w:cs="Times New Roman"/>
    </w:rPr>
  </w:style>
  <w:style w:type="character" w:customStyle="1" w:styleId="35">
    <w:name w:val="Основной текст (2) + Полужирный1"/>
    <w:qFormat/>
    <w:uiPriority w:val="0"/>
    <w:rPr>
      <w:rFonts w:ascii="Times New Roman" w:hAnsi="Times New Roman" w:cs="Times New Roman"/>
      <w:b/>
      <w:sz w:val="28"/>
      <w:u w:val="none"/>
    </w:rPr>
  </w:style>
  <w:style w:type="character" w:customStyle="1" w:styleId="36">
    <w:name w:val="Символ нумерації"/>
    <w:qFormat/>
    <w:uiPriority w:val="0"/>
  </w:style>
  <w:style w:type="paragraph" w:customStyle="1" w:styleId="37">
    <w:name w:val="Заголовок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8">
    <w:name w:val="Покажчик"/>
    <w:basedOn w:val="1"/>
    <w:qFormat/>
    <w:uiPriority w:val="0"/>
    <w:pPr>
      <w:suppressLineNumbers/>
    </w:pPr>
    <w:rPr>
      <w:rFonts w:cs="Arial"/>
    </w:rPr>
  </w:style>
  <w:style w:type="paragraph" w:customStyle="1" w:styleId="39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Caption1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2">
    <w:name w:val="Текст1"/>
    <w:basedOn w:val="1"/>
    <w:qFormat/>
    <w:uiPriority w:val="0"/>
    <w:rPr>
      <w:rFonts w:ascii="Courier New" w:hAnsi="Courier New" w:cs="Courier New"/>
    </w:rPr>
  </w:style>
  <w:style w:type="paragraph" w:customStyle="1" w:styleId="43">
    <w:name w:val="Верхній і нижній колонтитули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4">
    <w:name w:val="Style5"/>
    <w:basedOn w:val="1"/>
    <w:qFormat/>
    <w:uiPriority w:val="0"/>
    <w:pPr>
      <w:widowControl w:val="0"/>
      <w:autoSpaceDE w:val="0"/>
    </w:pPr>
    <w:rPr>
      <w:rFonts w:eastAsia="SimSun"/>
      <w:sz w:val="24"/>
      <w:szCs w:val="24"/>
    </w:rPr>
  </w:style>
  <w:style w:type="paragraph" w:customStyle="1" w:styleId="45">
    <w:name w:val="Основной текст (2)"/>
    <w:basedOn w:val="1"/>
    <w:qFormat/>
    <w:uiPriority w:val="0"/>
    <w:pPr>
      <w:shd w:val="clear" w:color="auto" w:fill="FFFFFF"/>
      <w:spacing w:line="240" w:lineRule="atLeast"/>
    </w:pPr>
    <w:rPr>
      <w:rFonts w:ascii="Arial Narrow" w:hAnsi="Arial Narrow" w:eastAsia="SimSun" w:cs="Arial Narrow"/>
      <w:b/>
      <w:sz w:val="15"/>
      <w:shd w:val="clear" w:color="auto" w:fill="FFFFFF"/>
      <w:lang w:val="uk-UA" w:eastAsia="uk-UA"/>
    </w:rPr>
  </w:style>
  <w:style w:type="paragraph" w:customStyle="1" w:styleId="46">
    <w:name w:val="List Paragraph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SimSun" w:cs="Calibri"/>
      <w:sz w:val="22"/>
      <w:szCs w:val="22"/>
      <w:lang w:eastAsia="en-US"/>
    </w:rPr>
  </w:style>
  <w:style w:type="paragraph" w:customStyle="1" w:styleId="47">
    <w:name w:val="2034"/>
    <w:basedOn w:val="1"/>
    <w:qFormat/>
    <w:uiPriority w:val="0"/>
    <w:pPr>
      <w:spacing w:before="100" w:after="100"/>
    </w:pPr>
    <w:rPr>
      <w:rFonts w:eastAsia="SimSun"/>
      <w:sz w:val="24"/>
      <w:szCs w:val="24"/>
    </w:rPr>
  </w:style>
  <w:style w:type="paragraph" w:customStyle="1" w:styleId="48">
    <w:name w:val="2057"/>
    <w:basedOn w:val="1"/>
    <w:qFormat/>
    <w:uiPriority w:val="0"/>
    <w:pPr>
      <w:spacing w:before="100" w:after="100"/>
    </w:pPr>
    <w:rPr>
      <w:rFonts w:eastAsia="SimSun"/>
      <w:sz w:val="24"/>
      <w:szCs w:val="24"/>
    </w:rPr>
  </w:style>
  <w:style w:type="paragraph" w:customStyle="1" w:styleId="49">
    <w:name w:val="Table Paragraph"/>
    <w:basedOn w:val="1"/>
    <w:qFormat/>
    <w:uiPriority w:val="0"/>
    <w:pPr>
      <w:widowControl w:val="0"/>
      <w:autoSpaceDE w:val="0"/>
    </w:pPr>
    <w:rPr>
      <w:sz w:val="22"/>
      <w:szCs w:val="22"/>
      <w:lang w:val="en-US" w:eastAsia="en-US"/>
    </w:rPr>
  </w:style>
  <w:style w:type="paragraph" w:customStyle="1" w:styleId="50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51">
    <w:name w:val="Заголовок таблиці"/>
    <w:basedOn w:val="50"/>
    <w:qFormat/>
    <w:uiPriority w:val="0"/>
    <w:pPr>
      <w:jc w:val="center"/>
    </w:pPr>
    <w:rPr>
      <w:b/>
      <w:bCs/>
    </w:rPr>
  </w:style>
  <w:style w:type="paragraph" w:customStyle="1" w:styleId="52">
    <w:name w:val="Вміст рамки"/>
    <w:basedOn w:val="1"/>
    <w:qFormat/>
    <w:uiPriority w:val="0"/>
  </w:style>
  <w:style w:type="character" w:customStyle="1" w:styleId="53">
    <w:name w:val="Текст выноски Знак"/>
    <w:basedOn w:val="5"/>
    <w:link w:val="12"/>
    <w:semiHidden/>
    <w:qFormat/>
    <w:uiPriority w:val="99"/>
    <w:rPr>
      <w:rFonts w:ascii="Tahoma" w:hAnsi="Tahoma" w:cs="Tahoma"/>
      <w:sz w:val="16"/>
      <w:szCs w:val="16"/>
      <w:lang w:val="ru-RU" w:eastAsia="ru-RU"/>
    </w:rPr>
  </w:style>
  <w:style w:type="character" w:customStyle="1" w:styleId="54">
    <w:name w:val="citation-43"/>
    <w:basedOn w:val="5"/>
    <w:qFormat/>
    <w:uiPriority w:val="0"/>
  </w:style>
  <w:style w:type="character" w:customStyle="1" w:styleId="55">
    <w:name w:val="citation-42"/>
    <w:basedOn w:val="5"/>
    <w:qFormat/>
    <w:uiPriority w:val="0"/>
  </w:style>
  <w:style w:type="character" w:customStyle="1" w:styleId="56">
    <w:name w:val="citation-41"/>
    <w:basedOn w:val="5"/>
    <w:qFormat/>
    <w:uiPriority w:val="0"/>
  </w:style>
  <w:style w:type="character" w:customStyle="1" w:styleId="57">
    <w:name w:val="citation-40"/>
    <w:basedOn w:val="5"/>
    <w:qFormat/>
    <w:uiPriority w:val="0"/>
  </w:style>
  <w:style w:type="character" w:customStyle="1" w:styleId="58">
    <w:name w:val="citation-39"/>
    <w:basedOn w:val="5"/>
    <w:qFormat/>
    <w:uiPriority w:val="0"/>
  </w:style>
  <w:style w:type="character" w:customStyle="1" w:styleId="59">
    <w:name w:val="citation-38"/>
    <w:basedOn w:val="5"/>
    <w:qFormat/>
    <w:uiPriority w:val="0"/>
  </w:style>
  <w:style w:type="character" w:customStyle="1" w:styleId="60">
    <w:name w:val="citation-37"/>
    <w:basedOn w:val="5"/>
    <w:qFormat/>
    <w:uiPriority w:val="0"/>
  </w:style>
  <w:style w:type="character" w:customStyle="1" w:styleId="61">
    <w:name w:val="citation-36"/>
    <w:basedOn w:val="5"/>
    <w:qFormat/>
    <w:uiPriority w:val="0"/>
  </w:style>
  <w:style w:type="character" w:customStyle="1" w:styleId="62">
    <w:name w:val="citation-35"/>
    <w:basedOn w:val="5"/>
    <w:qFormat/>
    <w:uiPriority w:val="0"/>
  </w:style>
  <w:style w:type="character" w:customStyle="1" w:styleId="63">
    <w:name w:val="citation-34"/>
    <w:basedOn w:val="5"/>
    <w:qFormat/>
    <w:uiPriority w:val="0"/>
  </w:style>
  <w:style w:type="character" w:customStyle="1" w:styleId="64">
    <w:name w:val="citation-33"/>
    <w:basedOn w:val="5"/>
    <w:qFormat/>
    <w:uiPriority w:val="0"/>
  </w:style>
  <w:style w:type="character" w:customStyle="1" w:styleId="65">
    <w:name w:val="citation-32"/>
    <w:basedOn w:val="5"/>
    <w:qFormat/>
    <w:uiPriority w:val="0"/>
  </w:style>
  <w:style w:type="character" w:customStyle="1" w:styleId="66">
    <w:name w:val="citation-31"/>
    <w:basedOn w:val="5"/>
    <w:qFormat/>
    <w:uiPriority w:val="0"/>
  </w:style>
  <w:style w:type="character" w:customStyle="1" w:styleId="67">
    <w:name w:val="citation-30"/>
    <w:basedOn w:val="5"/>
    <w:qFormat/>
    <w:uiPriority w:val="0"/>
  </w:style>
  <w:style w:type="character" w:customStyle="1" w:styleId="68">
    <w:name w:val="citation-29"/>
    <w:basedOn w:val="5"/>
    <w:qFormat/>
    <w:uiPriority w:val="0"/>
  </w:style>
  <w:style w:type="character" w:customStyle="1" w:styleId="69">
    <w:name w:val="citation-28"/>
    <w:basedOn w:val="5"/>
    <w:qFormat/>
    <w:uiPriority w:val="0"/>
  </w:style>
  <w:style w:type="character" w:customStyle="1" w:styleId="70">
    <w:name w:val="citation-27"/>
    <w:basedOn w:val="5"/>
    <w:qFormat/>
    <w:uiPriority w:val="0"/>
  </w:style>
  <w:style w:type="character" w:customStyle="1" w:styleId="71">
    <w:name w:val="mdc-button__label"/>
    <w:basedOn w:val="5"/>
    <w:qFormat/>
    <w:uiPriority w:val="0"/>
  </w:style>
  <w:style w:type="paragraph" w:styleId="72">
    <w:name w:val="List Paragraph"/>
    <w:basedOn w:val="1"/>
    <w:link w:val="78"/>
    <w:qFormat/>
    <w:uiPriority w:val="34"/>
    <w:pPr>
      <w:ind w:left="720"/>
      <w:contextualSpacing/>
    </w:pPr>
  </w:style>
  <w:style w:type="character" w:customStyle="1" w:styleId="73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uk-UA"/>
    </w:rPr>
  </w:style>
  <w:style w:type="character" w:customStyle="1" w:styleId="74">
    <w:name w:val="Название Знак"/>
    <w:basedOn w:val="5"/>
    <w:link w:val="17"/>
    <w:qFormat/>
    <w:uiPriority w:val="0"/>
    <w:rPr>
      <w:b/>
      <w:sz w:val="28"/>
      <w:lang w:val="uk-UA" w:eastAsia="ar-SA"/>
    </w:rPr>
  </w:style>
  <w:style w:type="character" w:customStyle="1" w:styleId="75">
    <w:name w:val="Подзаголовок Знак"/>
    <w:basedOn w:val="5"/>
    <w:link w:val="20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character" w:customStyle="1" w:styleId="76">
    <w:name w:val="Font Style17"/>
    <w:qFormat/>
    <w:uiPriority w:val="0"/>
    <w:rPr>
      <w:rFonts w:ascii="Times New Roman" w:hAnsi="Times New Roman" w:cs="Times New Roman"/>
      <w:color w:val="000000"/>
      <w:sz w:val="26"/>
      <w:szCs w:val="26"/>
    </w:rPr>
  </w:style>
  <w:style w:type="paragraph" w:customStyle="1" w:styleId="77">
    <w:name w:val="Standard"/>
    <w:qFormat/>
    <w:uiPriority w:val="0"/>
    <w:pPr>
      <w:suppressAutoHyphens/>
      <w:autoSpaceDN w:val="0"/>
      <w:spacing w:after="160" w:line="254" w:lineRule="auto"/>
      <w:jc w:val="center"/>
      <w:textAlignment w:val="baseline"/>
    </w:pPr>
    <w:rPr>
      <w:rFonts w:ascii="Times New Roman" w:hAnsi="Times New Roman" w:eastAsia="SimSun" w:cs="Times New Roman"/>
      <w:bCs/>
      <w:kern w:val="3"/>
      <w:sz w:val="22"/>
      <w:szCs w:val="22"/>
      <w:lang w:val="uk-UA" w:eastAsia="en-US" w:bidi="ar-SA"/>
    </w:rPr>
  </w:style>
  <w:style w:type="character" w:customStyle="1" w:styleId="78">
    <w:name w:val="Абзац списка Знак"/>
    <w:link w:val="72"/>
    <w:qFormat/>
    <w:locked/>
    <w:uiPriority w:val="34"/>
    <w:rPr>
      <w:lang w:val="ru-RU" w:eastAsia="ru-RU"/>
    </w:rPr>
  </w:style>
  <w:style w:type="table" w:customStyle="1" w:styleId="79">
    <w:name w:val="_Style 92"/>
    <w:basedOn w:val="80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0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_Style 39"/>
    <w:basedOn w:val="8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_Style 40"/>
    <w:basedOn w:val="8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4523</Words>
  <Characters>25785</Characters>
  <Lines>214</Lines>
  <Paragraphs>60</Paragraphs>
  <TotalTime>1</TotalTime>
  <ScaleCrop>false</ScaleCrop>
  <LinksUpToDate>false</LinksUpToDate>
  <CharactersWithSpaces>30248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2025-10-10T08:35:00Z</dcterms:created>
  <dc:creator>ADMIN</dc:creator>
  <cp:lastModifiedBy>sliepykh.kateryna</cp:lastModifiedBy>
  <cp:lastPrinted>2025-03-07T13:12:00Z</cp:lastPrinted>
  <dcterms:modified xsi:type="dcterms:W3CDTF">2026-01-21T14:16:56Z</dcterms:modified>
  <dc:title>ПрАТ  “ВНЗ “МІЖРЕГІОНАЛЬНА АКАДЕМІЯ УПРАВЛІННЯ ПЕРСОНАЛОМ”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98BD9B5614234114839ADF3A52FBBF1C_13</vt:lpwstr>
  </property>
  <property fmtid="{D5CDD505-2E9C-101B-9397-08002B2CF9AE}" pid="3" name="KSOProductBuildVer">
    <vt:lpwstr>1049-12.2.0.22549</vt:lpwstr>
  </property>
</Properties>
</file>