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numPr>
          <w:ilvl w:val="0"/>
          <w:numId w:val="1"/>
        </w:numPr>
        <w:spacing w:after="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1"/>
        </w:numPr>
        <w:spacing w:after="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1"/>
        </w:numPr>
        <w:spacing w:after="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88975" cy="815975"/>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Style w:val="Heading2"/>
        <w:keepNext w:val="0"/>
        <w:keepLines w:val="0"/>
        <w:widowControl w:val="0"/>
        <w:numPr>
          <w:ilvl w:val="0"/>
          <w:numId w:val="1"/>
        </w:numPr>
        <w:spacing w:before="0" w:line="240" w:lineRule="auto"/>
        <w:ind w:left="0" w:right="0" w:firstLine="0"/>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br w:type="textWrapping"/>
        <w:t xml:space="preserve">SYLLABUS</w:t>
      </w:r>
      <w:r w:rsidDel="00000000" w:rsidR="00000000" w:rsidRPr="00000000">
        <w:rPr>
          <w:rtl w:val="0"/>
        </w:rPr>
      </w:r>
    </w:p>
    <w:p w:rsidR="00000000" w:rsidDel="00000000" w:rsidP="00000000" w:rsidRDefault="00000000" w:rsidRPr="00000000" w14:paraId="0000000B">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pStyle w:val="Heading2"/>
        <w:keepNext w:val="0"/>
        <w:keepLines w:val="0"/>
        <w:widowControl w:val="0"/>
        <w:numPr>
          <w:ilvl w:val="0"/>
          <w:numId w:val="1"/>
        </w:numPr>
        <w:spacing w:before="0" w:line="240" w:lineRule="auto"/>
        <w:ind w:left="0" w:right="0" w:firstLine="0"/>
        <w:jc w:val="center"/>
        <w:rPr>
          <w:rFonts w:ascii="Times New Roman" w:cs="Times New Roman" w:eastAsia="Times New Roman" w:hAnsi="Times New Roman"/>
          <w:i w:val="1"/>
          <w:iCs w:val="1"/>
          <w:color w:val="000000"/>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INNOVATION AND INVESTMENT MANAGEMENT</w:t>
      </w:r>
      <w:r w:rsidDel="00000000" w:rsidR="00000000" w:rsidRPr="00000000">
        <w:rPr>
          <w:rtl w:val="0"/>
        </w:rPr>
      </w:r>
    </w:p>
    <w:p w:rsidR="00000000" w:rsidDel="00000000" w:rsidP="00000000" w:rsidRDefault="00000000" w:rsidRPr="00000000" w14:paraId="0000000E">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tbl>
      <w:tblPr>
        <w:tblStyle w:val="Table1"/>
        <w:tblW w:w="9412.0" w:type="dxa"/>
        <w:jc w:val="left"/>
        <w:tblInd w:w="-6.999999999999993" w:type="dxa"/>
        <w:tblLayout w:type="fixed"/>
        <w:tblLook w:val="0000"/>
      </w:tblPr>
      <w:tblGrid>
        <w:gridCol w:w="3720"/>
        <w:gridCol w:w="5692"/>
        <w:tblGridChange w:id="0">
          <w:tblGrid>
            <w:gridCol w:w="3720"/>
            <w:gridCol w:w="5692"/>
          </w:tblGrid>
        </w:tblGridChange>
      </w:tblGrid>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Level of higher education: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(master’s) level</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Field of knowledge: </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Business, Administration and Law</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Specialty:</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Study program:</w:t>
            </w:r>
          </w:p>
        </w:tc>
        <w:tc>
          <w:tcPr/>
          <w:p w:rsidR="00000000" w:rsidDel="00000000" w:rsidP="00000000" w:rsidRDefault="00000000" w:rsidRPr="00000000" w14:paraId="0000001A">
            <w:pPr>
              <w:pStyle w:val="Heading2"/>
              <w:keepNext w:val="0"/>
              <w:widowControl w:val="0"/>
              <w:spacing w:before="0" w:line="240" w:lineRule="auto"/>
              <w:ind w:right="0"/>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Management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right="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C">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1D">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021">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IAPM  2025</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spacing w:after="0" w:line="240" w:lineRule="auto"/>
        <w:ind w:right="0"/>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w:t>
      </w:r>
    </w:p>
    <w:tbl>
      <w:tblPr>
        <w:tblStyle w:val="Table2"/>
        <w:tblpPr w:leftFromText="180" w:rightFromText="180" w:topFromText="0" w:bottomFromText="0" w:vertAnchor="text" w:horzAnchor="text" w:tblpX="91" w:tblpY="293"/>
        <w:tblW w:w="9854.0" w:type="dxa"/>
        <w:jc w:val="left"/>
        <w:tblInd w:w="-115.0" w:type="dxa"/>
        <w:tblLayout w:type="fixed"/>
        <w:tblLook w:val="0400"/>
      </w:tblPr>
      <w:tblGrid>
        <w:gridCol w:w="4361"/>
        <w:gridCol w:w="5493"/>
        <w:tblGridChange w:id="0">
          <w:tblGrid>
            <w:gridCol w:w="4361"/>
            <w:gridCol w:w="5493"/>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Innovation and investment 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Code and name of the </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(master's) level</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credits/120 hours</w:t>
            </w:r>
          </w:p>
          <w:p w:rsidR="00000000" w:rsidDel="00000000" w:rsidP="00000000" w:rsidRDefault="00000000" w:rsidRPr="00000000" w14:paraId="00000032">
            <w:pPr>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Lectures: 26 hours</w:t>
            </w:r>
          </w:p>
          <w:p w:rsidR="00000000" w:rsidDel="00000000" w:rsidP="00000000" w:rsidRDefault="00000000" w:rsidRPr="00000000" w14:paraId="00000033">
            <w:pPr>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Seminar classes: 26 hours</w:t>
            </w:r>
          </w:p>
          <w:p w:rsidR="00000000" w:rsidDel="00000000" w:rsidP="00000000" w:rsidRDefault="00000000" w:rsidRPr="00000000" w14:paraId="00000034">
            <w:pPr>
              <w:tabs>
                <w:tab w:val="left" w:leader="none" w:pos="8931"/>
                <w:tab w:val="left" w:leader="none" w:pos="9356"/>
              </w:tabs>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Independent work by students: 68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Ukrainian</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Exam</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8.0" w:type="dxa"/>
        <w:jc w:val="left"/>
        <w:tblLayout w:type="fixed"/>
        <w:tblLook w:val="0400"/>
      </w:tblPr>
      <w:tblGrid>
        <w:gridCol w:w="4678"/>
        <w:gridCol w:w="4820"/>
        <w:tblGridChange w:id="0">
          <w:tblGrid>
            <w:gridCol w:w="4678"/>
            <w:gridCol w:w="482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1">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2">
      <w:pPr>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Discipline’s description. </w:t>
      </w:r>
    </w:p>
    <w:p w:rsidR="00000000" w:rsidDel="00000000" w:rsidP="00000000" w:rsidRDefault="00000000" w:rsidRPr="00000000" w14:paraId="00000053">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current (digital) stage of economic and social development, it is important to train specialists who are capable of solving complex specialised tasks and practical problems related to the innovative and investment development of organisations, regions and the state.</w:t>
      </w:r>
    </w:p>
    <w:p w:rsidR="00000000" w:rsidDel="00000000" w:rsidP="00000000" w:rsidRDefault="00000000" w:rsidRPr="00000000" w14:paraId="00000054">
      <w:pPr>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5">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subject of discipline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 a set of theoretical, methodological, and practical issues related to the innovation and investment activities of business structures and public institutions.</w:t>
      </w:r>
    </w:p>
    <w:p w:rsidR="00000000" w:rsidDel="00000000" w:rsidP="00000000" w:rsidRDefault="00000000" w:rsidRPr="00000000" w14:paraId="00000056">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acquire skills in critical, strategic, and analytical thinking, research work, and interaction in working groups, and to develop decision-making skills in the preparation and implementation of innovation and investment projects, applicants within the framework of study the discipline by completing individual and group assignments, working with real cases and relevant databases.</w:t>
      </w:r>
    </w:p>
    <w:p w:rsidR="00000000" w:rsidDel="00000000" w:rsidP="00000000" w:rsidRDefault="00000000" w:rsidRPr="00000000" w14:paraId="00000057">
      <w:pPr>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8">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aim of the discipline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 to provide students with a system of knowledge about the content and patterns of innovative economic development, the innovation and investment activities of modern business structures and public institutions, an understanding of the mechanisms of state regulation of innovation and investment activities, as well as the skills and abilities necessary for the effective management of innovation and investment processes in the digital age.</w:t>
      </w:r>
    </w:p>
    <w:p w:rsidR="00000000" w:rsidDel="00000000" w:rsidP="00000000" w:rsidRDefault="00000000" w:rsidRPr="00000000" w14:paraId="00000059">
      <w:pPr>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A">
      <w:pPr>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objectives of the discipline: </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an understanding of the essence, principles and tools of innovation and investment management,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 students to apply modern methods of analysis and evaluation of the innovation and investment activities of an enterprise, and to develop and implement innovative development strategies. </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Promote the acquisition of skills in the development and management of investment projects, effective management decisions in the field of innovation and investment, and the organisation of the process of innovation implementation in an enterprise. </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Familiarise students with approaches to evaluating the effectiveness of innovation and investment activities at the level of the enterprise and the organisation as a whole.</w:t>
      </w:r>
    </w:p>
    <w:p w:rsidR="00000000" w:rsidDel="00000000" w:rsidP="00000000" w:rsidRDefault="00000000" w:rsidRPr="00000000" w14:paraId="0000005F">
      <w:pPr>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0">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Prerequisites for the academic discipline.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1">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of the academic discipline “Innovation and investment management” is based on the knowledge and skills acquired by students in the study of the following disciplines: "Enterprise Economics", "Management", "Enterprise Finance", "Investing", "Innovation Management" and others.</w:t>
      </w:r>
    </w:p>
    <w:p w:rsidR="00000000" w:rsidDel="00000000" w:rsidP="00000000" w:rsidRDefault="00000000" w:rsidRPr="00000000" w14:paraId="00000062">
      <w:pPr>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3">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Post-requisites for the academic discipline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4">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knowledge and skills acquired by students in the course of studying the academic discipline “Innovation and investment management” ensure successful mastery of other disciplines focused on the formation of professional competencies in the field of management, in particular: "Project Management", "Risk Management" and others.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r w:rsidDel="00000000" w:rsidR="00000000" w:rsidRPr="00000000">
        <w:rPr>
          <w:rtl w:val="0"/>
        </w:rPr>
      </w:r>
    </w:p>
    <w:tbl>
      <w:tblPr>
        <w:tblStyle w:val="Table4"/>
        <w:tblpPr w:leftFromText="180" w:rightFromText="180" w:topFromText="0" w:bottomFromText="0" w:vertAnchor="text" w:horzAnchor="text" w:tblpX="153" w:tblpY="50"/>
        <w:tblW w:w="9606.0" w:type="dxa"/>
        <w:jc w:val="left"/>
        <w:tblInd w:w="-115.0" w:type="dxa"/>
        <w:tblLayout w:type="fixed"/>
        <w:tblLook w:val="0400"/>
      </w:tblPr>
      <w:tblGrid>
        <w:gridCol w:w="1995"/>
        <w:gridCol w:w="7611"/>
        <w:tblGridChange w:id="0">
          <w:tblGrid>
            <w:gridCol w:w="1995"/>
            <w:gridCol w:w="7611"/>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GC6. </w:t>
            </w:r>
            <w:r w:rsidDel="00000000" w:rsidR="00000000" w:rsidRPr="00000000">
              <w:rPr>
                <w:rFonts w:ascii="Times New Roman" w:cs="Times New Roman" w:eastAsia="Times New Roman" w:hAnsi="Times New Roman"/>
                <w:color w:val="000000"/>
                <w:sz w:val="28"/>
                <w:szCs w:val="28"/>
                <w:rtl w:val="0"/>
              </w:rPr>
              <w:t xml:space="preserve"> Ability to generate new ideas (creativity</w:t>
            </w:r>
            <w:r w:rsidDel="00000000" w:rsidR="00000000" w:rsidRPr="00000000">
              <w:rPr>
                <w:rFonts w:ascii="Times New Roman" w:cs="Times New Roman" w:eastAsia="Times New Roman" w:hAnsi="Times New Roman"/>
                <w:sz w:val="28"/>
                <w:szCs w:val="28"/>
                <w:rtl w:val="0"/>
              </w:rPr>
              <w:t xml:space="preserve">).</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after="0" w:line="240" w:lineRule="auto"/>
              <w:ind w:right="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 competences</w:t>
            </w:r>
            <w:r w:rsidDel="00000000" w:rsidR="00000000" w:rsidRPr="00000000">
              <w:rPr>
                <w:rtl w:val="0"/>
              </w:rPr>
            </w:r>
          </w:p>
          <w:p w:rsidR="00000000" w:rsidDel="00000000" w:rsidP="00000000" w:rsidRDefault="00000000" w:rsidRPr="00000000" w14:paraId="0000006A">
            <w:pPr>
              <w:spacing w:after="0" w:line="240" w:lineRule="auto"/>
              <w:ind w:right="0"/>
              <w:jc w:val="both"/>
              <w:rPr>
                <w:rFonts w:ascii="Times New Roman" w:cs="Times New Roman" w:eastAsia="Times New Roman" w:hAnsi="Times New Roman"/>
                <w:b w:val="1"/>
                <w:bCs w:val="1"/>
                <w:sz w:val="28"/>
                <w:szCs w:val="28"/>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SC4. Ability to effectively use and develop the resources of the organization and enterprise. </w:t>
            </w:r>
          </w:p>
          <w:p w:rsidR="00000000" w:rsidDel="00000000" w:rsidP="00000000" w:rsidRDefault="00000000" w:rsidRPr="00000000" w14:paraId="0000006C">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SC5. Ability to create and organize effective communications in the management process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D">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SC7. </w:t>
            </w:r>
            <w:r w:rsidDel="00000000" w:rsidR="00000000" w:rsidRPr="00000000">
              <w:rPr>
                <w:rFonts w:ascii="Times New Roman" w:cs="Times New Roman" w:eastAsia="Times New Roman" w:hAnsi="Times New Roman"/>
                <w:color w:val="000000"/>
                <w:sz w:val="28"/>
                <w:szCs w:val="28"/>
                <w:rtl w:val="0"/>
              </w:rPr>
              <w:t xml:space="preserve"> Ability to develop business development projects, manage them, show initiative and entrepreneurship</w:t>
            </w:r>
            <w:r w:rsidDel="00000000" w:rsidR="00000000" w:rsidRPr="00000000">
              <w:rPr>
                <w:rFonts w:ascii="Times New Roman" w:cs="Times New Roman" w:eastAsia="Times New Roman" w:hAnsi="Times New Roman"/>
                <w:sz w:val="28"/>
                <w:szCs w:val="28"/>
                <w:rtl w:val="0"/>
              </w:rPr>
              <w:t xml:space="preserve"> . </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SC11. Ability to create and manage start-ups, attract investment capital for the implementation of innovative projects.</w:t>
            </w:r>
          </w:p>
          <w:p w:rsidR="00000000" w:rsidDel="00000000" w:rsidP="00000000" w:rsidRDefault="00000000" w:rsidRPr="00000000" w14:paraId="0000006F">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SC12. Ability to develop and apply methods and technologies for strategic management of the organization and commercialization of innovations under conditions of uncertainty and risk.</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spacing w:after="0" w:line="240" w:lineRule="auto"/>
              <w:ind w:right="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Intended earning outcomes</w:t>
            </w:r>
            <w:r w:rsidDel="00000000" w:rsidR="00000000" w:rsidRPr="00000000">
              <w:rPr>
                <w:rtl w:val="0"/>
              </w:rPr>
            </w:r>
          </w:p>
          <w:p w:rsidR="00000000" w:rsidDel="00000000" w:rsidP="00000000" w:rsidRDefault="00000000" w:rsidRPr="00000000" w14:paraId="00000071">
            <w:pPr>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ILO4.  Justify and manage projects, generate entrepreneurial ideas. </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ILO10. Demonstrate leadership skills and the ability to work in a team, interact with people, influence their behavior to solve professional problems. </w:t>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ILO12. To be able to delegate authority and management of the organization (unit). </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ILO14.  Initiate and implement changes to the management system and business model of the organization in accordance with digital changes in the environment and compliance with intellectual property rights.</w:t>
            </w:r>
          </w:p>
          <w:p w:rsidR="00000000" w:rsidDel="00000000" w:rsidP="00000000" w:rsidRDefault="00000000" w:rsidRPr="00000000" w14:paraId="00000076">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ILO16. Demonstrate project management skills, quality management methods and strategic management technologies to achieve organizational goals.</w:t>
            </w:r>
          </w:p>
        </w:tc>
      </w:tr>
    </w:tbl>
    <w:p w:rsidR="00000000" w:rsidDel="00000000" w:rsidP="00000000" w:rsidRDefault="00000000" w:rsidRPr="00000000" w14:paraId="00000077">
      <w:pPr>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widowControl w:val="0"/>
        <w:ind w:right="0"/>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Content of the academic discipline</w:t>
      </w:r>
    </w:p>
    <w:tbl>
      <w:tblPr>
        <w:tblStyle w:val="Table5"/>
        <w:tblpPr w:leftFromText="180" w:rightFromText="180" w:topFromText="0" w:bottomFromText="0" w:vertAnchor="text" w:horzAnchor="text" w:tblpX="160" w:tblpY="197"/>
        <w:tblW w:w="9606.000000000002" w:type="dxa"/>
        <w:jc w:val="left"/>
        <w:tblInd w:w="-115.0" w:type="dxa"/>
        <w:tblLayout w:type="fixed"/>
        <w:tblLook w:val="0400"/>
      </w:tblPr>
      <w:tblGrid>
        <w:gridCol w:w="1101"/>
        <w:gridCol w:w="3969"/>
        <w:gridCol w:w="567"/>
        <w:gridCol w:w="567"/>
        <w:gridCol w:w="567"/>
        <w:gridCol w:w="2835"/>
        <w:tblGridChange w:id="0">
          <w:tblGrid>
            <w:gridCol w:w="1101"/>
            <w:gridCol w:w="3969"/>
            <w:gridCol w:w="567"/>
            <w:gridCol w:w="567"/>
            <w:gridCol w:w="567"/>
            <w:gridCol w:w="2835"/>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Number of hours, of which :</w:t>
            </w:r>
            <w:r w:rsidDel="00000000" w:rsidR="00000000" w:rsidRPr="00000000">
              <w:rPr>
                <w:rtl w:val="0"/>
              </w:rPr>
            </w:r>
          </w:p>
        </w:tc>
      </w:tr>
      <w:tr>
        <w:trPr>
          <w:cantSplit w:val="0"/>
          <w:trHeight w:val="137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2">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Teaching methods /assessment methods</w:t>
            </w: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5">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1st semester</w:t>
            </w:r>
          </w:p>
          <w:p w:rsidR="00000000" w:rsidDel="00000000" w:rsidP="00000000" w:rsidRDefault="00000000" w:rsidRPr="00000000" w14:paraId="00000086">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bCs w:val="1"/>
                <w:sz w:val="28"/>
                <w:szCs w:val="28"/>
                <w:rtl w:val="0"/>
              </w:rPr>
              <w:t xml:space="preserve">Content module 1. Theoretical foundations of innovation and investment management.</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8B">
            <w:pPr>
              <w:widowControl w:val="0"/>
              <w:spacing w:after="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Teaching methods: </w:t>
            </w:r>
            <w:r w:rsidDel="00000000" w:rsidR="00000000" w:rsidRPr="00000000">
              <w:rPr>
                <w:rFonts w:ascii="Times New Roman" w:cs="Times New Roman" w:eastAsia="Times New Roman" w:hAnsi="Times New Roman"/>
                <w:sz w:val="24"/>
                <w:szCs w:val="24"/>
                <w:rtl w:val="0"/>
              </w:rPr>
              <w:t xml:space="preserve">verbal (lectures; conversations; educational discussions); inductive method; deductive method; analytical; synthetic; reproductive; problem-based method; partial-search; research; interactive methods (situation analysis; discussions, debates, polemics; dialogue, synthesis of opinions; brainstorming; skills practice; situational modelling, discussion questions); modelling of professional activity; innovative teaching methods (competence-based; project-based research); case method.</w:t>
            </w:r>
          </w:p>
          <w:p w:rsidR="00000000" w:rsidDel="00000000" w:rsidP="00000000" w:rsidRDefault="00000000" w:rsidRPr="00000000" w14:paraId="0000008C">
            <w:pPr>
              <w:widowControl w:val="0"/>
              <w:spacing w:after="0" w:line="240" w:lineRule="auto"/>
              <w:ind w:right="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Assessment methods: </w:t>
            </w:r>
            <w:r w:rsidDel="00000000" w:rsidR="00000000" w:rsidRPr="00000000">
              <w:rPr>
                <w:rFonts w:ascii="Times New Roman" w:cs="Times New Roman" w:eastAsia="Times New Roman" w:hAnsi="Times New Roman"/>
                <w:sz w:val="24"/>
                <w:szCs w:val="24"/>
                <w:rtl w:val="0"/>
              </w:rPr>
              <w:t xml:space="preserve">oral assessment (oral questioning, assessment of participation in discussions and other interactive teaching methods); written assessment (tests, independent work, reports, essays); test control (closed-form tests: alternative tests, matching tests); self-control and self-assessment method; assessment of case tasks.</w:t>
            </w:r>
            <w:r w:rsidDel="00000000" w:rsidR="00000000" w:rsidRPr="00000000">
              <w:rPr>
                <w:rtl w:val="0"/>
              </w:rPr>
            </w:r>
          </w:p>
        </w:tc>
      </w:tr>
      <w:tr>
        <w:trPr>
          <w:cantSplit w:val="0"/>
          <w:trHeight w:val="5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Topic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widowControl w:val="0"/>
              <w:spacing w:after="0" w:line="240" w:lineRule="auto"/>
              <w:ind w:right="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Concept, essence and classification of innovations and investments.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Topic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widowControl w:val="0"/>
              <w:spacing w:after="0" w:line="240" w:lineRule="auto"/>
              <w:ind w:right="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Innovation and investment activities of enterprises in modern market conditions.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widowControl w:val="0"/>
              <w:spacing w:after="0" w:line="240" w:lineRule="auto"/>
              <w:ind w:right="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Mechanisms and tools for innovation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widowControl w:val="0"/>
              <w:spacing w:after="0" w:line="240" w:lineRule="auto"/>
              <w:ind w:right="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Investment resources and sources of their 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widowControl w:val="0"/>
              <w:spacing w:after="0" w:line="240" w:lineRule="auto"/>
              <w:ind w:right="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Innovative strategy of the enterprise and its implementation.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17"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2.  Practical aspects of innovation and investment management.</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widowControl w:val="0"/>
              <w:spacing w:after="0" w:line="240" w:lineRule="auto"/>
              <w:ind w:right="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Investment project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widowControl w:val="0"/>
              <w:spacing w:after="0" w:line="240" w:lineRule="auto"/>
              <w:ind w:right="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Evaluating the effectiveness of innovation and investment decisions.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widowControl w:val="0"/>
              <w:spacing w:after="0" w:line="240" w:lineRule="auto"/>
              <w:ind w:right="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Risk management in innovation and investment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widowControl w:val="0"/>
              <w:spacing w:after="0" w:line="240" w:lineRule="auto"/>
              <w:ind w:right="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Financing innovation and investment: domestic and foreign 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widowControl w:val="0"/>
              <w:spacing w:after="0" w:line="240" w:lineRule="auto"/>
              <w:ind w:right="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Organising the process of implementing innovations in an enterprise.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widowControl w:val="0"/>
              <w:spacing w:after="0" w:line="240" w:lineRule="auto"/>
              <w:ind w:right="0"/>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Modular test </w:t>
            </w:r>
            <w:r w:rsidDel="00000000" w:rsidR="00000000" w:rsidRPr="00000000">
              <w:rPr>
                <w:rtl w:val="0"/>
              </w:rPr>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widowControl w:val="0"/>
              <w:spacing w:after="0" w:line="240" w:lineRule="auto"/>
              <w:ind w:right="0"/>
              <w:jc w:val="center"/>
              <w:rPr>
                <w:rFonts w:ascii="Times New Roman" w:cs="Times New Roman" w:eastAsia="Times New Roman" w:hAnsi="Times New Roman"/>
                <w:b w:val="1"/>
                <w:bCs w:val="1"/>
                <w:sz w:val="28"/>
                <w:szCs w:val="28"/>
                <w:highlight w:val="yellow"/>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Form of assessment: exam</w:t>
            </w:r>
            <w:r w:rsidDel="00000000" w:rsidR="00000000" w:rsidRPr="00000000">
              <w:rPr>
                <w:rtl w:val="0"/>
              </w:rPr>
            </w:r>
          </w:p>
        </w:tc>
      </w:tr>
    </w:tbl>
    <w:p w:rsidR="00000000" w:rsidDel="00000000" w:rsidP="00000000" w:rsidRDefault="00000000" w:rsidRPr="00000000" w14:paraId="000000E1">
      <w:pPr>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Technical equipment and/or software</w:t>
      </w:r>
      <w:r w:rsidDel="00000000" w:rsidR="00000000" w:rsidRPr="00000000">
        <w:rPr>
          <w:rFonts w:ascii="Times New Roman" w:cs="Times New Roman" w:eastAsia="Times New Roman" w:hAnsi="Times New Roman"/>
          <w:color w:val="000000"/>
          <w:sz w:val="28"/>
          <w:szCs w:val="28"/>
          <w:rtl w:val="0"/>
        </w:rPr>
        <w:t xml:space="preserve"> – official website of </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http://</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Forms and methods of assessment.</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Methods of ongoing assessment include: </w:t>
      </w:r>
      <w:r w:rsidDel="00000000" w:rsidR="00000000" w:rsidRPr="00000000">
        <w:rPr>
          <w:rFonts w:ascii="Times New Roman" w:cs="Times New Roman" w:eastAsia="Times New Roman" w:hAnsi="Times New Roman"/>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 testing; analysis of problem situations.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Grading system and requirements.</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of distribution of points received by students</w:t>
      </w:r>
    </w:p>
    <w:p w:rsidR="00000000" w:rsidDel="00000000" w:rsidP="00000000" w:rsidRDefault="00000000" w:rsidRPr="00000000" w14:paraId="000000F6">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tbl>
      <w:tblPr>
        <w:tblStyle w:val="Table6"/>
        <w:tblW w:w="9364.0" w:type="dxa"/>
        <w:jc w:val="left"/>
        <w:tblLayout w:type="fixed"/>
        <w:tblLook w:val="0000"/>
      </w:tblPr>
      <w:tblGrid>
        <w:gridCol w:w="1703"/>
        <w:gridCol w:w="426"/>
        <w:gridCol w:w="425"/>
        <w:gridCol w:w="426"/>
        <w:gridCol w:w="425"/>
        <w:gridCol w:w="425"/>
        <w:gridCol w:w="425"/>
        <w:gridCol w:w="426"/>
        <w:gridCol w:w="425"/>
        <w:gridCol w:w="425"/>
        <w:gridCol w:w="570"/>
        <w:gridCol w:w="1414"/>
        <w:gridCol w:w="856"/>
        <w:gridCol w:w="993"/>
        <w:tblGridChange w:id="0">
          <w:tblGrid>
            <w:gridCol w:w="1703"/>
            <w:gridCol w:w="426"/>
            <w:gridCol w:w="425"/>
            <w:gridCol w:w="426"/>
            <w:gridCol w:w="425"/>
            <w:gridCol w:w="425"/>
            <w:gridCol w:w="425"/>
            <w:gridCol w:w="426"/>
            <w:gridCol w:w="425"/>
            <w:gridCol w:w="425"/>
            <w:gridCol w:w="570"/>
            <w:gridCol w:w="1414"/>
            <w:gridCol w:w="856"/>
            <w:gridCol w:w="993"/>
          </w:tblGrid>
        </w:tblGridChange>
      </w:tblGrid>
      <w:tr>
        <w:trPr>
          <w:cantSplit w:val="0"/>
          <w:trHeight w:val="66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7">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widowControl w:val="0"/>
              <w:spacing w:after="0" w:line="240" w:lineRule="auto"/>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Exam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points</w:t>
            </w:r>
          </w:p>
        </w:tc>
      </w:tr>
      <w:tr>
        <w:trPr>
          <w:cantSplit w:val="1"/>
          <w:trHeight w:val="1153" w:hRule="atLeast"/>
          <w:tblHeader w:val="0"/>
        </w:trPr>
        <w:tc>
          <w:tcPr>
            <w:tcBorders>
              <w:left w:color="000000" w:space="0" w:sz="4" w:val="single"/>
              <w:bottom w:color="000000" w:space="0" w:sz="4" w:val="single"/>
            </w:tcBorders>
          </w:tcPr>
          <w:p w:rsidR="00000000" w:rsidDel="00000000" w:rsidP="00000000" w:rsidRDefault="00000000" w:rsidRPr="00000000" w14:paraId="00000105">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0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07">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0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0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0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0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0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0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vMerge w:val="restart"/>
            <w:tcBorders>
              <w:left w:color="000000" w:space="0" w:sz="4" w:val="single"/>
            </w:tcBorders>
          </w:tcPr>
          <w:p w:rsidR="00000000" w:rsidDel="00000000" w:rsidP="00000000" w:rsidRDefault="00000000" w:rsidRPr="00000000" w14:paraId="0000011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1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4">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vMerge w:val="restart"/>
            <w:tcBorders>
              <w:left w:color="000000" w:space="0" w:sz="4" w:val="single"/>
              <w:right w:color="000000" w:space="0" w:sz="4" w:val="single"/>
            </w:tcBorders>
          </w:tcPr>
          <w:p w:rsidR="00000000" w:rsidDel="00000000" w:rsidP="00000000" w:rsidRDefault="00000000" w:rsidRPr="00000000" w14:paraId="00000116">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widowControl w:val="0"/>
              <w:spacing w:after="0" w:line="240" w:lineRule="auto"/>
              <w:ind w:right="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rHeight w:val="666" w:hRule="atLeast"/>
          <w:tblHeader w:val="0"/>
        </w:trPr>
        <w:tc>
          <w:tcPr>
            <w:tcBorders>
              <w:left w:color="000000" w:space="0" w:sz="4" w:val="single"/>
              <w:bottom w:color="000000" w:space="0" w:sz="4" w:val="single"/>
            </w:tcBorders>
          </w:tcPr>
          <w:p w:rsidR="00000000" w:rsidDel="00000000" w:rsidP="00000000" w:rsidRDefault="00000000" w:rsidRPr="00000000" w14:paraId="00000119">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 in a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3">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42" w:hRule="atLeast"/>
          <w:tblHeader w:val="0"/>
        </w:trPr>
        <w:tc>
          <w:tcPr>
            <w:tcBorders>
              <w:left w:color="000000" w:space="0" w:sz="4" w:val="single"/>
              <w:bottom w:color="000000" w:space="0" w:sz="4" w:val="single"/>
            </w:tcBorders>
          </w:tcPr>
          <w:p w:rsidR="00000000" w:rsidDel="00000000" w:rsidP="00000000" w:rsidRDefault="00000000" w:rsidRPr="00000000" w14:paraId="00000127">
            <w:pPr>
              <w:widowControl w:val="0"/>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28">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9">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A">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B">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C">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E">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F">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0">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widowControl w:val="0"/>
              <w:spacing w:after="0" w:line="24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35">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table contains information about the maximum points for each type of assignment.</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Modular assessment.</w:t>
      </w:r>
      <w:r w:rsidDel="00000000" w:rsidR="00000000" w:rsidRPr="00000000">
        <w:rPr>
          <w:rFonts w:ascii="Times New Roman" w:cs="Times New Roman" w:eastAsia="Times New Roman" w:hAnsi="Times New Roman"/>
          <w:color w:val="000000"/>
          <w:sz w:val="28"/>
          <w:szCs w:val="28"/>
          <w:rtl w:val="0"/>
        </w:rPr>
        <w:t xml:space="preserve"> Modular assessment in the discipline “</w:t>
      </w:r>
      <w:r w:rsidDel="00000000" w:rsidR="00000000" w:rsidRPr="00000000">
        <w:rPr>
          <w:rFonts w:ascii="Times New Roman" w:cs="Times New Roman" w:eastAsia="Times New Roman" w:hAnsi="Times New Roman"/>
          <w:sz w:val="28"/>
          <w:szCs w:val="28"/>
          <w:rtl w:val="0"/>
        </w:rPr>
        <w:t xml:space="preserve">Innovation and investment management”</w:t>
      </w:r>
      <w:r w:rsidDel="00000000" w:rsidR="00000000" w:rsidRPr="00000000">
        <w:rPr>
          <w:rFonts w:ascii="Times New Roman" w:cs="Times New Roman" w:eastAsia="Times New Roman" w:hAnsi="Times New Roman"/>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Criteria for evaluating the modular test in the academic discipline “</w:t>
      </w:r>
      <w:r w:rsidDel="00000000" w:rsidR="00000000" w:rsidRPr="00000000">
        <w:rPr>
          <w:rFonts w:ascii="Times New Roman" w:cs="Times New Roman" w:eastAsia="Times New Roman" w:hAnsi="Times New Roman"/>
          <w:sz w:val="28"/>
          <w:szCs w:val="28"/>
          <w:rtl w:val="0"/>
        </w:rPr>
        <w:t xml:space="preserve">Innovation and investment management</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(B) is given for the completion of 80% of all tasks;</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(C) is given for the completion of 70% of all tasks;</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(D) is given if 60% of the proposed tasks are completed correctly;</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"unsatisfactory" (FX) is given if less than 50% of the tasks are completed.</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Absence from the modular test work - 0 points.</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above grades are transformed into rating points as follows:</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- 18-20 points;</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- 16-17 points;</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- 14-15 points;</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- 12-13 points.</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- 10-11 points;</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 - less than 10 points.</w:t>
      </w:r>
    </w:p>
    <w:p w:rsidR="00000000" w:rsidDel="00000000" w:rsidP="00000000" w:rsidRDefault="00000000" w:rsidRPr="00000000" w14:paraId="0000014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assessment in the academic discipline “</w:t>
      </w:r>
      <w:r w:rsidDel="00000000" w:rsidR="00000000" w:rsidRPr="00000000">
        <w:rPr>
          <w:rFonts w:ascii="Times New Roman" w:cs="Times New Roman" w:eastAsia="Times New Roman" w:hAnsi="Times New Roman"/>
          <w:sz w:val="28"/>
          <w:szCs w:val="28"/>
          <w:rtl w:val="0"/>
        </w:rPr>
        <w:t xml:space="preserve">Innovation and investment management”</w:t>
      </w:r>
      <w:r w:rsidDel="00000000" w:rsidR="00000000" w:rsidRPr="00000000">
        <w:rPr>
          <w:rFonts w:ascii="Times New Roman" w:cs="Times New Roman" w:eastAsia="Times New Roman" w:hAnsi="Times New Roman"/>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4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5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5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5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minimum number of points required to pass the exam is 25.</w:t>
      </w:r>
    </w:p>
    <w:p w:rsidR="00000000" w:rsidDel="00000000" w:rsidP="00000000" w:rsidRDefault="00000000" w:rsidRPr="00000000" w14:paraId="0000015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5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5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7">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8">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9">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A">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B">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D">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E">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0">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1">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3">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4">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6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additional (individual) types of educational activities.</w:t>
      </w:r>
      <w:r w:rsidDel="00000000" w:rsidR="00000000" w:rsidRPr="00000000">
        <w:rPr>
          <w:rFonts w:ascii="Times New Roman" w:cs="Times New Roman" w:eastAsia="Times New Roman" w:hAnsi="Times New Roman"/>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evaluating the performance of independent work (individual tasks)</w:t>
      </w:r>
    </w:p>
    <w:tbl>
      <w:tblPr>
        <w:tblStyle w:val="Table8"/>
        <w:tblW w:w="9481.0" w:type="dxa"/>
        <w:jc w:val="left"/>
        <w:tblInd w:w="-60.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bl>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8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659"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981"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Discipline’s Policy:</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regularly attend lectures and practical classes;</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work systematically and actively in lectures and practical classes;</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catch-up on missed classes;</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the tasks required by the syllabus in full and with appropriate quality;</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control and other independent work;</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adhere to the norms of academic behaviour and ethics.</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academic discipline “</w:t>
      </w:r>
      <w:r w:rsidDel="00000000" w:rsidR="00000000" w:rsidRPr="00000000">
        <w:rPr>
          <w:rFonts w:ascii="Times New Roman" w:cs="Times New Roman" w:eastAsia="Times New Roman" w:hAnsi="Times New Roman"/>
          <w:sz w:val="28"/>
          <w:szCs w:val="28"/>
          <w:rtl w:val="0"/>
        </w:rPr>
        <w:t xml:space="preserve">Innovation and investment management”</w:t>
      </w:r>
      <w:r w:rsidDel="00000000" w:rsidR="00000000" w:rsidRPr="00000000">
        <w:rPr>
          <w:rFonts w:ascii="Times New Roman" w:cs="Times New Roman" w:eastAsia="Times New Roman" w:hAnsi="Times New Roman"/>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Methodological support of the academic discipline</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rFonts w:ascii="Times New Roman" w:cs="Times New Roman" w:eastAsia="Times New Roman" w:hAnsi="Times New Roman"/>
          <w:sz w:val="28"/>
          <w:szCs w:val="28"/>
          <w:rtl w:val="0"/>
        </w:rPr>
        <w:t xml:space="preserve">Innovation and investment management”</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BB">
      <w:pPr>
        <w:widowControl w:val="0"/>
        <w:shd w:fill="ffffff" w:val="clea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674h0v3hyzp8"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Investment management: study guide for students of the specialty 073 "Management". L.V. Shynkaruk, M.M. Dielini, T.O. Vlasenko, A.V. Dergach. Kyiv: NULES, 2023. 336 p. </w:t>
      </w:r>
    </w:p>
    <w:p w:rsidR="00000000" w:rsidDel="00000000" w:rsidP="00000000" w:rsidRDefault="00000000" w:rsidRPr="00000000" w14:paraId="000001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Investment Activity" dated 18 September 1991 No. 1560-XII (as amended and supplemented). Official website of the Verkhovna Rada of Ukraine. Website. URL:</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http://zakon2.rada.gov.ua/laws/main/1560-12</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Innovative Activity" dated 4 July 2002 No. 40-IV (as amended and supplemented). Official website of the Verkhovna Rada of Ukraine. Website. URL:</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https://zakon.rada.gov.ua/laws/show/40-15#Text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Vorzhakova Yu. P., Chuprina M. O. Innovation Management: Teaching and Methodological Guide. Kyiv: Igor Sikorsky Kyiv Polytechnic Institute, 2022. 130 p. </w:t>
      </w:r>
    </w:p>
    <w:p w:rsidR="00000000" w:rsidDel="00000000" w:rsidP="00000000" w:rsidRDefault="00000000" w:rsidRPr="00000000" w14:paraId="000001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Zakharchenko, V. I., Kovtunenko, K. V., Lapteva, V. V. Innovation and Investment Management: A Study Guide. Kyiv: Helvetica Publishing House, 2025. 148 p.</w:t>
      </w:r>
    </w:p>
    <w:p w:rsidR="00000000" w:rsidDel="00000000" w:rsidP="00000000" w:rsidRDefault="00000000" w:rsidRPr="00000000" w14:paraId="000001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Ivanova O. A. Economics and Organisation of Innovative Activity: Textbook. Kharkiv: NUA Publishing House, 2020. 108 p.</w:t>
      </w:r>
    </w:p>
    <w:p w:rsidR="00000000" w:rsidDel="00000000" w:rsidP="00000000" w:rsidRDefault="00000000" w:rsidRPr="00000000" w14:paraId="000001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Investment Management: Methodological Guidelines for Preparing and Conducting the Consulting Game "Proektinvest" / Compiled by: L. V. Shynkaruk, T. O. Vlasenko. Kyiv, 2020. 80 p. </w:t>
      </w:r>
    </w:p>
    <w:p w:rsidR="00000000" w:rsidDel="00000000" w:rsidP="00000000" w:rsidRDefault="00000000" w:rsidRPr="00000000" w14:paraId="000001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Kopytko M. I., Blaga N. V. Innovation and Investment Management: A Textbook in Diagrams and Tables. 2nd ed., supplemented and revised. Lviv: Lviv State University of Internal Affairs, 2022. 296 p. </w:t>
      </w:r>
    </w:p>
    <w:p w:rsidR="00000000" w:rsidDel="00000000" w:rsidP="00000000" w:rsidRDefault="00000000" w:rsidRPr="00000000" w14:paraId="000001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Cherep O.G. Innovative Development of an Enterprise: A Textbook. Kyiv: Kondor, 2019. 548 p. </w:t>
      </w:r>
    </w:p>
    <w:p w:rsidR="00000000" w:rsidDel="00000000" w:rsidP="00000000" w:rsidRDefault="00000000" w:rsidRPr="00000000" w14:paraId="000001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Yaroshevych, N. B., Kondrat, I. Yu., &amp; Yakymiv, A. I. State Management of Investment Activities: A Textbook. Lviv: Novyi Svit-2000, 2020. 429 p. </w:t>
      </w:r>
    </w:p>
    <w:p w:rsidR="00000000" w:rsidDel="00000000" w:rsidP="00000000" w:rsidRDefault="00000000" w:rsidRPr="00000000" w14:paraId="000001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Dvigun, A., Datsii, O., Levchenko, N., Shyshkanova, G., &amp; Dmytrenko, R. (2022). Rational Use of Fresh Water as a Guarantee of Agribusiness Development in the Context of the Exacerbated Climate Crisis. Science and Innovation, 18(2), 85–99. https://doi.org/10.15407/scine18.02.085 (Scopus)</w:t>
      </w:r>
    </w:p>
    <w:p w:rsidR="00000000" w:rsidDel="00000000" w:rsidP="00000000" w:rsidRDefault="00000000" w:rsidRPr="00000000" w14:paraId="000001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Dvigun, A., Datsii, O., Levchenko, N., Shyshkanova, G., Platonov, O., &amp; Zalizniuk, V. (2022). Increasing Ambition to Reduce the Carbon Trace of Multimodal Transportation in the Conditions of Ukraine’s Economy Transformation Towards Climate Neutrality. Science and Innovation, 18(1), 96–111. https://doi.org/10.15407/scine18.01.096 (Scopus)</w:t>
      </w:r>
    </w:p>
    <w:p w:rsidR="00000000" w:rsidDel="00000000" w:rsidP="00000000" w:rsidRDefault="00000000" w:rsidRPr="00000000" w14:paraId="000001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Lagodiienko V.V., Datsii O. I. , Petrenko O.P., Tepliuk M.A., Budiaiev M.O. Economic aspects of assessment and marketing of carbon emissions by enterprises based on the principles of sustainable development (2023). Scientific Bulletin of the National Mining University, 2023, No. 3. pp. 111-117. URL: https://doi.org/10.33271/nvngu/2023-3/111 (Scopus)</w:t>
      </w:r>
    </w:p>
    <w:p w:rsidR="00000000" w:rsidDel="00000000" w:rsidP="00000000" w:rsidRDefault="00000000" w:rsidRPr="00000000" w14:paraId="000001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Olena Vakulchyk, Valeriia Fesenko, Oksana Knyshek, Lyudmyla Babenko, Liudmyla Horbach, Oleksandr Datsii (2023). Analysis of an Enterprise’s Compliance with the Authorised Economic Operator Status in the Context of the Customs Policy of Ukraine. Lecture Notes in Computer Science, 13957, 228-241. DOI: 10.1007/978-3-031-36808-0_15.     URL: https://dl.acm.org/doi/abs/10.1007/978-3-031-36808-0_15 (Scopus)</w:t>
      </w:r>
    </w:p>
    <w:p w:rsidR="00000000" w:rsidDel="00000000" w:rsidP="00000000" w:rsidRDefault="00000000" w:rsidRPr="00000000" w14:paraId="000001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Dombrovska, Svitlana, Datsii O.І., Prykhodko, Igor, V., Kovalchuk, Veronika, O., Vasylenko, Oleksandr. Evaluation of organisational and resource provision for the functioning of territorial communities in the financial security management system. Financial and Credit Activity: Problems of Theory and Practice, 2024. Vol. 6 (59). pp. 251-260. DOI: 10.55643/fcaptp.6.59.2024.4584 (Scopus)</w:t>
      </w:r>
    </w:p>
    <w:p w:rsidR="00000000" w:rsidDel="00000000" w:rsidP="00000000" w:rsidRDefault="00000000" w:rsidRPr="00000000" w14:paraId="000001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Datsii, O.I., Sitsinskyi, N.A., Paliy, S.A. Principles of implementation of state policy for comprehensive sustainable innovation and investment development of territories in the context of digital transformation. Public Administration: Improvement and Development. 2025. No. 9. URL:</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https://www.nayka.com.ua/index.php/dy/article/view/7507/7633</w:t>
        </w:r>
      </w:hyperlink>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Datsii O.I., Sitsinskyi N.A., Paliy S.A. The content of organisational and economic mechanisms for implementing state policy on comprehensive sustainable innovation and investment development of territories, taking into account the characteristics and basic patterns of digitalisation. Investments: practice and experience. 2025. No. 18. P. 198-202.</w:t>
      </w:r>
    </w:p>
    <w:p w:rsidR="00000000" w:rsidDel="00000000" w:rsidP="00000000" w:rsidRDefault="00000000" w:rsidRPr="00000000" w14:paraId="000001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Datsii O.I., Sitsinskyi N.A., Paliy S.A.  Problems and prospects for the implementation of the digital transformation strategy in the comprehensive sustainable innovation and investment development of territories. Successes and achievements in science. 2025. No. 9 (19). P. 395-402.</w:t>
      </w:r>
    </w:p>
    <w:p w:rsidR="00000000" w:rsidDel="00000000" w:rsidP="00000000" w:rsidRDefault="00000000" w:rsidRPr="00000000" w14:paraId="000001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Datsiy O.I., Kalina I.I., Karbovska L.O. Theoretical foundations of managing the modelling of agricultural enterprise stability projects. Scientific Bulletin of Uzhhorod National University. Issue 56, 2025, pp. 132–135.</w:t>
      </w:r>
    </w:p>
    <w:p w:rsidR="00000000" w:rsidDel="00000000" w:rsidP="00000000" w:rsidRDefault="00000000" w:rsidRPr="00000000" w14:paraId="000001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Datsiy O.I., Dragan I.V., Tubolets I.I., Loshchiyin O.M. Innovative activity in the transport support system for the functioning of the pharmaceutical market. Investments: practice and experience. 2025. No. 13. pp. 48-52.</w:t>
      </w:r>
    </w:p>
    <w:p w:rsidR="00000000" w:rsidDel="00000000" w:rsidP="00000000" w:rsidRDefault="00000000" w:rsidRPr="00000000" w14:paraId="000001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Datsii N.V., Datsii O.I. Effective development of innovative activity in the field of scientific research and projects in Ukraine. Successes and achievements in science. 2025. No. 5 (15). pp. 645-653.</w:t>
      </w:r>
    </w:p>
    <w:p w:rsidR="00000000" w:rsidDel="00000000" w:rsidP="00000000" w:rsidRDefault="00000000" w:rsidRPr="00000000" w14:paraId="000001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Zgalat-Lozynska, L., Datsii, O., &amp; Velychko, A. Financial and credit instruments as a key factor in the development of investment activity in construction.  Economy and Society. 2024. No. 70. URL:</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https://economyandsociety.in.ua/index.php/journal/article/view/5421/5365</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Datsiy O.I., Kalina I.I., Karbovska L.O. Modelling projects for the stable functioning of agricultural enterprises based on the management of competitive advantages. Agrosvit. 2025. No. 11. Pp. 33-37.</w:t>
      </w:r>
    </w:p>
    <w:p w:rsidR="00000000" w:rsidDel="00000000" w:rsidP="00000000" w:rsidRDefault="00000000" w:rsidRPr="00000000" w14:paraId="000001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Datsii O.I., Kovalskyi M.R. Modelling processes of managing socio-economic territorial development. Public Administration. 2022. No. 1 (29). Pp. 36-41.</w:t>
      </w:r>
    </w:p>
    <w:p w:rsidR="00000000" w:rsidDel="00000000" w:rsidP="00000000" w:rsidRDefault="00000000" w:rsidRPr="00000000" w14:paraId="000001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95" w:right="0" w:hanging="43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Datsii O. I., Pyrog V. V., Osatiuk A. V. Development of vertically integrated structures under the conditions of implementation of Ukraine's innovative agri-food policy. Scientific works of the MAUP. Economic sciences. 2023. No. 2 (69). Pp. 7-13.</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p>
    <w:p w:rsidR="00000000" w:rsidDel="00000000" w:rsidP="00000000" w:rsidRDefault="00000000" w:rsidRPr="00000000" w14:paraId="000001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Bannikov, V., Lobunets T., Buriak, I., Maslyhan, O., Shevchuk, L. On the question of the role of project management in the digital transformation of small and medium-sized businesses: essence and innovative potential. // Amazonia Investiga Volume 11. 2022. No. 55. – P. 334-343. URL:</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https://amazoniainvestiga.info/index.php/amazonia/article/view/2105</w:t>
        </w:r>
      </w:hyperlink>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Vlasenko T. O., Chernysh, R. F., Dergach, A. V., Lobunets T. V., Kurylo, O. B. Investment security management in transition economies: Legal and organisational aspects. International Journal of Economics and Business Administration. No. 8(2). 2020. Pp. 200–209. </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URL:https://ijeba.com/journal/452</w:t>
        </w:r>
      </w:hyperlink>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Gurochkina V. V. Investment policy of the enterprise: stakeholder matrix and drivers of interaction development. Bulletin of Khmelnytsky National University. Economic Sciences. 2019. No. 4, Volume 2. P. 89–97. </w:t>
      </w:r>
    </w:p>
    <w:p w:rsidR="00000000" w:rsidDel="00000000" w:rsidP="00000000" w:rsidRDefault="00000000" w:rsidRPr="00000000" w14:paraId="000001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Lazareva O. V. Investment policy of regions. Electronic resource. URL:</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http://lib.chmnu.edu.ua/pdf/metodser/128/11.pdf</w:t>
        </w:r>
      </w:hyperlink>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Lobunets T. V., Gonchar G. P. Features of business investment in wartime. Scientific perspectives. No. 8. 2022. P. 155-164. URL:</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http://perspectives.pp.ua/index.php/np/article/view/2371</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Investment efficiency assessment in Excel. Calculation of NPV, PP, DPP, IRR, ARR, PI. URL:</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https://sgv.in.ua/off-lifaq/28-otsinka-efektivnosti-investitsij-v-excel-rozrakhunok-npv-pp-dpp-irrarr-pi</w:t>
        </w:r>
      </w:hyperlink>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Information resources:</w:t>
      </w:r>
    </w:p>
    <w:p w:rsidR="00000000" w:rsidDel="00000000" w:rsidP="00000000" w:rsidRDefault="00000000" w:rsidRPr="00000000" w14:paraId="000001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Verkhovna Rada of Ukraine. Website. URL: http://</w:t>
      </w:r>
      <w:hyperlink r:id="rId1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www.portal.rada.gov.ua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Legislation of Ukraine. Website. URL:</w:t>
      </w:r>
      <w:hyperlink r:id="rId1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https://zakon.rada.gov.ua/</w:t>
        </w:r>
      </w:hyperlink>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Cabinet of Ministers of Ukraine. Website. URL: http://</w:t>
      </w:r>
      <w:hyperlink r:id="rId1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www.kmu.gov.ua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Ministry of Finance. Website. URL: http://</w:t>
      </w:r>
      <w:hyperlink r:id="rId2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www.minfin.gov.ua</w:t>
        </w:r>
      </w:hyperlink>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Ministry of Economy of Ukraine. Website. URL:</w:t>
      </w:r>
      <w:hyperlink r:id="rId2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https://www.me.gov.ua/?lang=uk-UA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State Tax Service of Ukraine. Website. URL: http://</w:t>
      </w:r>
      <w:hyperlink r:id="rId2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www.tax.gov.ua</w:t>
        </w:r>
      </w:hyperlink>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Institute for Strategic Studies. Website. URL: http://</w:t>
      </w:r>
      <w:hyperlink r:id="rId2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www.niss.gov.ua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Centre for Prospective Social Studies. Website. URL: http://</w:t>
      </w:r>
      <w:hyperlink r:id="rId2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www.cpsr.org.ua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9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2e75b5"/>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qFormat w:val="1"/>
    <w:rPr>
      <w:color w:val="0563c1" w:themeColor="hyperlink"/>
      <w:u w:val="single"/>
    </w:rPr>
  </w:style>
  <w:style w:type="paragraph" w:styleId="a4">
    <w:name w:val="Balloon Text"/>
    <w:basedOn w:val="a"/>
    <w:link w:val="a5"/>
    <w:uiPriority w:val="99"/>
    <w:semiHidden w:val="1"/>
    <w:unhideWhenUsed w:val="1"/>
    <w:qFormat w:val="1"/>
    <w:pPr>
      <w:spacing w:after="0" w:line="240" w:lineRule="auto"/>
    </w:pPr>
    <w:rPr>
      <w:rFonts w:ascii="Tahoma" w:cs="Tahoma" w:hAnsi="Tahoma"/>
      <w:sz w:val="16"/>
      <w:szCs w:val="16"/>
    </w:rPr>
  </w:style>
  <w:style w:type="table" w:styleId="a6">
    <w:name w:val="Table Grid"/>
    <w:basedOn w:val="a1"/>
    <w:uiPriority w:val="39"/>
    <w:qFormat w:val="1"/>
    <w:rPr>
      <w:kern w:val="2"/>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7" w:customStyle="1">
    <w:name w:val="Подпись к картинке_"/>
    <w:basedOn w:val="a0"/>
    <w:link w:val="a8"/>
    <w:qFormat w:val="1"/>
    <w:rPr>
      <w:rFonts w:ascii="Times New Roman" w:cs="Times New Roman" w:eastAsia="Times New Roman" w:hAnsi="Times New Roman"/>
      <w:shd w:color="auto" w:fill="ffffff" w:val="clear"/>
    </w:rPr>
  </w:style>
  <w:style w:type="paragraph" w:styleId="a8" w:customStyle="1">
    <w:name w:val="Подпись к картинке"/>
    <w:basedOn w:val="a"/>
    <w:link w:val="a7"/>
    <w:qFormat w:val="1"/>
    <w:pPr>
      <w:widowControl w:val="0"/>
      <w:shd w:color="auto" w:fill="ffffff" w:val="clear"/>
      <w:spacing w:after="0" w:line="235" w:lineRule="auto"/>
      <w:ind w:firstLine="80"/>
    </w:pPr>
    <w:rPr>
      <w:rFonts w:ascii="Times New Roman" w:cs="Times New Roman" w:eastAsia="Times New Roman" w:hAnsi="Times New Roman"/>
    </w:rPr>
  </w:style>
  <w:style w:type="paragraph" w:styleId="a9">
    <w:name w:val="List Paragraph"/>
    <w:basedOn w:val="a"/>
    <w:uiPriority w:val="34"/>
    <w:qFormat w:val="1"/>
    <w:pPr>
      <w:ind w:left="720"/>
      <w:contextualSpacing w:val="1"/>
    </w:pPr>
  </w:style>
  <w:style w:type="paragraph" w:styleId="Standard" w:customStyle="1">
    <w:name w:val="Standard"/>
    <w:qFormat w:val="1"/>
    <w:pPr>
      <w:suppressAutoHyphens w:val="1"/>
      <w:autoSpaceDN w:val="0"/>
    </w:pPr>
    <w:rPr>
      <w:rFonts w:ascii="Times New Roman" w:cs="Times New Roman" w:eastAsia="Times New Roman" w:hAnsi="Times New Roman"/>
      <w:kern w:val="2"/>
      <w:sz w:val="24"/>
      <w:szCs w:val="24"/>
      <w:lang w:eastAsia="zh-CN" w:val="en-US"/>
    </w:rPr>
  </w:style>
  <w:style w:type="character" w:styleId="1" w:customStyle="1">
    <w:name w:val="Неразрешенное упоминание1"/>
    <w:basedOn w:val="a0"/>
    <w:uiPriority w:val="99"/>
    <w:semiHidden w:val="1"/>
    <w:unhideWhenUsed w:val="1"/>
    <w:qFormat w:val="1"/>
    <w:rPr>
      <w:color w:val="605e5c"/>
      <w:shd w:color="auto" w:fill="e1dfdd" w:val="clear"/>
    </w:rPr>
  </w:style>
  <w:style w:type="character" w:styleId="aa" w:customStyle="1">
    <w:name w:val="Подпись к таблице_"/>
    <w:basedOn w:val="a0"/>
    <w:link w:val="ab"/>
    <w:qFormat w:val="1"/>
    <w:rPr>
      <w:rFonts w:ascii="Times New Roman" w:cs="Times New Roman" w:eastAsia="Times New Roman" w:hAnsi="Times New Roman"/>
      <w:b w:val="1"/>
      <w:bCs w:val="1"/>
      <w:shd w:color="auto" w:fill="ffffff" w:val="clear"/>
    </w:rPr>
  </w:style>
  <w:style w:type="paragraph" w:styleId="ab" w:customStyle="1">
    <w:name w:val="Подпись к таблице"/>
    <w:basedOn w:val="a"/>
    <w:link w:val="aa"/>
    <w:qFormat w:val="1"/>
    <w:pPr>
      <w:widowControl w:val="0"/>
      <w:shd w:color="auto" w:fill="ffffff" w:val="clear"/>
      <w:spacing w:after="0" w:line="240" w:lineRule="auto"/>
    </w:pPr>
    <w:rPr>
      <w:rFonts w:ascii="Times New Roman" w:cs="Times New Roman" w:eastAsia="Times New Roman" w:hAnsi="Times New Roman"/>
      <w:b w:val="1"/>
      <w:bCs w:val="1"/>
    </w:rPr>
  </w:style>
  <w:style w:type="character" w:styleId="a5" w:customStyle="1">
    <w:name w:val="Текст выноски Знак"/>
    <w:basedOn w:val="a0"/>
    <w:link w:val="a4"/>
    <w:uiPriority w:val="99"/>
    <w:semiHidden w:val="1"/>
    <w:rPr>
      <w:rFonts w:ascii="Tahoma" w:cs="Tahoma" w:hAnsi="Tahoma"/>
      <w:sz w:val="16"/>
      <w:szCs w:val="16"/>
    </w:rPr>
  </w:style>
  <w:style w:type="character" w:styleId="40" w:customStyle="1">
    <w:name w:val="Заголовок 4 Знак"/>
    <w:basedOn w:val="a0"/>
    <w:link w:val="4"/>
    <w:uiPriority w:val="9"/>
    <w:semiHidden w:val="1"/>
    <w:qFormat w:val="1"/>
    <w:rPr>
      <w:rFonts w:ascii="Aptos" w:hAnsi="Aptos" w:cstheme="majorBidi" w:eastAsiaTheme="majorEastAsia"/>
      <w:i w:val="1"/>
      <w:iCs w:val="1"/>
      <w:color w:val="2e74b5" w:themeColor="accent1" w:themeShade="0000BF"/>
      <w:kern w:val="2"/>
      <w:sz w:val="24"/>
      <w:szCs w:val="24"/>
    </w:rPr>
  </w:style>
  <w:style w:type="paragraph" w:styleId="ac" w:customStyle="1">
    <w:name w:val="Вміст таблиці"/>
    <w:basedOn w:val="a"/>
    <w:qFormat w:val="1"/>
    <w:pPr>
      <w:widowControl w:val="0"/>
      <w:suppressLineNumbers w:val="1"/>
    </w:pPr>
  </w:style>
  <w:style w:type="character" w:styleId="20" w:customStyle="1">
    <w:name w:val="Заголовок 2 Знак"/>
    <w:basedOn w:val="a0"/>
    <w:link w:val="2"/>
    <w:uiPriority w:val="9"/>
    <w:semiHidden w:val="1"/>
    <w:rsid w:val="00516403"/>
    <w:rPr>
      <w:rFonts w:asciiTheme="majorHAnsi" w:cstheme="majorBidi" w:eastAsiaTheme="majorEastAsia" w:hAnsiTheme="majorHAnsi"/>
      <w:color w:val="2e74b5" w:themeColor="accent1" w:themeShade="0000BF"/>
      <w:sz w:val="26"/>
      <w:szCs w:val="26"/>
      <w:lang w:eastAsia="en-US" w:val="uk-UA"/>
    </w:rPr>
  </w:style>
  <w:style w:type="paragraph" w:styleId="ad">
    <w:name w:val="No Spacing"/>
    <w:uiPriority w:val="1"/>
    <w:qFormat w:val="1"/>
    <w:rsid w:val="00516403"/>
    <w:rPr>
      <w:kern w:val="2"/>
      <w:sz w:val="24"/>
      <w:szCs w:val="24"/>
      <w:lang w:eastAsia="en-US" w:val="en-US"/>
    </w:rPr>
  </w:style>
  <w:style w:type="character" w:styleId="ng-star-inserted" w:customStyle="1">
    <w:name w:val="ng-star-inserted"/>
    <w:basedOn w:val="a0"/>
    <w:rsid w:val="003C4903"/>
  </w:style>
  <w:style w:type="paragraph" w:styleId="ae">
    <w:name w:val="Normal (Web)"/>
    <w:basedOn w:val="a"/>
    <w:uiPriority w:val="99"/>
    <w:qFormat w:val="1"/>
    <w:rsid w:val="009E5A93"/>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minfin.gov.ua" TargetMode="External"/><Relationship Id="rId11" Type="http://schemas.openxmlformats.org/officeDocument/2006/relationships/hyperlink" Target="https://economyandsociety.in.ua/index.php/journal/article/view/5421/5365" TargetMode="External"/><Relationship Id="rId22" Type="http://schemas.openxmlformats.org/officeDocument/2006/relationships/hyperlink" Target="http://www.tax.gov.ua" TargetMode="External"/><Relationship Id="rId10" Type="http://schemas.openxmlformats.org/officeDocument/2006/relationships/hyperlink" Target="https://www.nayka.com.ua/index.php/dy/article/view/7507/7633" TargetMode="External"/><Relationship Id="rId21" Type="http://schemas.openxmlformats.org/officeDocument/2006/relationships/hyperlink" Target="https://www.me.gov.ua/?lang=uk-UA" TargetMode="External"/><Relationship Id="rId13" Type="http://schemas.openxmlformats.org/officeDocument/2006/relationships/hyperlink" Target="about:blank" TargetMode="External"/><Relationship Id="rId24" Type="http://schemas.openxmlformats.org/officeDocument/2006/relationships/hyperlink" Target="http://www.cpsr.org.ua" TargetMode="External"/><Relationship Id="rId12" Type="http://schemas.openxmlformats.org/officeDocument/2006/relationships/hyperlink" Target="https://amazoniainvestiga.info/index.php/amazonia/article/view/2105" TargetMode="External"/><Relationship Id="rId23" Type="http://schemas.openxmlformats.org/officeDocument/2006/relationships/hyperlink" Target="http://www.niss.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40-15#Text" TargetMode="External"/><Relationship Id="rId15" Type="http://schemas.openxmlformats.org/officeDocument/2006/relationships/hyperlink" Target="http://perspectives.pp.ua/index.php/np/article/view/2371" TargetMode="External"/><Relationship Id="rId14" Type="http://schemas.openxmlformats.org/officeDocument/2006/relationships/hyperlink" Target="http://lib.chmnu.edu.ua/pdf/metodser/128/11.pdf" TargetMode="External"/><Relationship Id="rId17" Type="http://schemas.openxmlformats.org/officeDocument/2006/relationships/hyperlink" Target="http://www.portal.rada.gov.ua" TargetMode="External"/><Relationship Id="rId16" Type="http://schemas.openxmlformats.org/officeDocument/2006/relationships/hyperlink" Target="https://sgv.in.ua/off-lifaq/28-otsinka-efektivnosti-investitsij-v-excel-rozrakhunok-npv-pp-dpp-irrarr-pi" TargetMode="External"/><Relationship Id="rId5" Type="http://schemas.openxmlformats.org/officeDocument/2006/relationships/styles" Target="styles.xml"/><Relationship Id="rId19" Type="http://schemas.openxmlformats.org/officeDocument/2006/relationships/hyperlink" Target="http://www.kmu.gov.ua" TargetMode="External"/><Relationship Id="rId6" Type="http://schemas.openxmlformats.org/officeDocument/2006/relationships/customXml" Target="../customXML/item1.xml"/><Relationship Id="rId18" Type="http://schemas.openxmlformats.org/officeDocument/2006/relationships/hyperlink" Target="https://zakon.rada.gov.ua/" TargetMode="External"/><Relationship Id="rId7" Type="http://schemas.openxmlformats.org/officeDocument/2006/relationships/image" Target="media/image1.png"/><Relationship Id="rId8" Type="http://schemas.openxmlformats.org/officeDocument/2006/relationships/hyperlink" Target="http://zakon2.rada.gov.ua/laws/main/1560-1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KSmcRYGkyD+apkuV2o5/8rZQ==">CgMxLjAyDmguNjc0aDB2M2h5enA4OAByITEwWHNQTUpETG15SUFfd3haYW9oR0hObU0yODhaV0djNA==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2025-08-21T17:12:00Z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E39A4CF1A4A9437DB4BCEC728E497705_12</vt:lpwstr>
  </property>
</Properties>
</file>