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2"/>
        </w:numPr>
        <w:spacing w:after="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2"/>
        </w:numPr>
        <w:spacing w:after="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2"/>
        </w:numPr>
        <w:spacing w:after="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85800" cy="819150"/>
            <wp:effectExtent b="0" l="0" r="0" t="0"/>
            <wp:docPr descr="A black and white logo&#10;&#10;AI-generated content may be incorrect." id="2"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580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Style w:val="Heading2"/>
        <w:keepNext w:val="0"/>
        <w:keepLines w:val="0"/>
        <w:widowControl w:val="0"/>
        <w:numPr>
          <w:ilvl w:val="0"/>
          <w:numId w:val="2"/>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br w:type="textWrapping"/>
        <w:t xml:space="preserve">SYLLABUS</w:t>
      </w:r>
      <w:r w:rsidDel="00000000" w:rsidR="00000000" w:rsidRPr="00000000">
        <w:rPr>
          <w:rtl w:val="0"/>
        </w:rPr>
      </w:r>
    </w:p>
    <w:p w:rsidR="00000000" w:rsidDel="00000000" w:rsidP="00000000" w:rsidRDefault="00000000" w:rsidRPr="00000000" w14:paraId="0000000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keepLines w:val="0"/>
        <w:widowControl w:val="0"/>
        <w:numPr>
          <w:ilvl w:val="0"/>
          <w:numId w:val="2"/>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tl w:val="0"/>
        </w:rPr>
      </w:r>
    </w:p>
    <w:p w:rsidR="00000000" w:rsidDel="00000000" w:rsidP="00000000" w:rsidRDefault="00000000" w:rsidRPr="00000000" w14:paraId="0000000D">
      <w:pPr>
        <w:pStyle w:val="Heading2"/>
        <w:keepNext w:val="0"/>
        <w:keepLines w:val="0"/>
        <w:widowControl w:val="0"/>
        <w:numPr>
          <w:ilvl w:val="0"/>
          <w:numId w:val="2"/>
        </w:numPr>
        <w:spacing w:before="0" w:line="240" w:lineRule="auto"/>
        <w:ind w:left="0" w:right="0" w:firstLine="0"/>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STAFF COACHING</w:t>
      </w:r>
      <w:r w:rsidDel="00000000" w:rsidR="00000000" w:rsidRPr="00000000">
        <w:rPr>
          <w:rtl w:val="0"/>
        </w:rPr>
      </w:r>
    </w:p>
    <w:p w:rsidR="00000000" w:rsidDel="00000000" w:rsidP="00000000" w:rsidRDefault="00000000" w:rsidRPr="00000000" w14:paraId="0000000E">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tbl>
      <w:tblPr>
        <w:tblStyle w:val="Table1"/>
        <w:tblW w:w="9270.0" w:type="dxa"/>
        <w:jc w:val="left"/>
        <w:tblInd w:w="135.0" w:type="dxa"/>
        <w:tblLayout w:type="fixed"/>
        <w:tblLook w:val="0000"/>
      </w:tblPr>
      <w:tblGrid>
        <w:gridCol w:w="3827"/>
        <w:gridCol w:w="5443"/>
        <w:tblGridChange w:id="0">
          <w:tblGrid>
            <w:gridCol w:w="3827"/>
            <w:gridCol w:w="5443"/>
          </w:tblGrid>
        </w:tblGridChange>
      </w:tblGrid>
      <w:tr>
        <w:trPr>
          <w:cantSplit w:val="0"/>
          <w:tblHeader w:val="0"/>
        </w:trPr>
        <w:tc>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Level of higher education: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(master’s) level</w:t>
            </w:r>
          </w:p>
        </w:tc>
      </w:tr>
      <w:tr>
        <w:trPr>
          <w:cantSplit w:val="0"/>
          <w:tblHeader w:val="0"/>
        </w:trPr>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Field of knowledge: </w:t>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Business, Administration and Law</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Specialty: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blHeader w:val="0"/>
        </w:trPr>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Study program:</w:t>
            </w:r>
          </w:p>
        </w:tc>
        <w:tc>
          <w:tcPr/>
          <w:p w:rsidR="00000000" w:rsidDel="00000000" w:rsidP="00000000" w:rsidRDefault="00000000" w:rsidRPr="00000000" w14:paraId="0000001B">
            <w:pPr>
              <w:pStyle w:val="Heading2"/>
              <w:keepNext w:val="0"/>
              <w:keepLines w:val="0"/>
              <w:widowControl w:val="0"/>
              <w:numPr>
                <w:ilvl w:val="1"/>
                <w:numId w:val="2"/>
              </w:numPr>
              <w:tabs>
                <w:tab w:val="left" w:leader="none" w:pos="0"/>
              </w:tabs>
              <w:spacing w:before="0" w:line="240" w:lineRule="auto"/>
              <w:ind w:left="0" w:right="0" w:firstLine="0"/>
              <w:jc w:val="both"/>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Management</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E">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22">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IAPM  2025</w:t>
      </w:r>
    </w:p>
    <w:p w:rsidR="00000000" w:rsidDel="00000000" w:rsidP="00000000" w:rsidRDefault="00000000" w:rsidRPr="00000000" w14:paraId="00000026">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ind w:right="0"/>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2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p>
    <w:tbl>
      <w:tblPr>
        <w:tblStyle w:val="Table2"/>
        <w:tblpPr w:leftFromText="180" w:rightFromText="180" w:topFromText="0" w:bottomFromText="0" w:vertAnchor="text" w:horzAnchor="text" w:tblpX="91" w:tblpY="293"/>
        <w:tblW w:w="9606.0" w:type="dxa"/>
        <w:jc w:val="left"/>
        <w:tblInd w:w="-115.0" w:type="dxa"/>
        <w:tblLayout w:type="fixed"/>
        <w:tblLook w:val="0400"/>
      </w:tblPr>
      <w:tblGrid>
        <w:gridCol w:w="4644"/>
        <w:gridCol w:w="4962"/>
        <w:tblGridChange w:id="0">
          <w:tblGrid>
            <w:gridCol w:w="4644"/>
            <w:gridCol w:w="4962"/>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Staff coaching</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Code and name of the </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(master's)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credits/90 hours</w:t>
            </w:r>
          </w:p>
          <w:p w:rsidR="00000000" w:rsidDel="00000000" w:rsidP="00000000" w:rsidRDefault="00000000" w:rsidRPr="00000000" w14:paraId="00000034">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Lectures: 14 hours</w:t>
            </w:r>
          </w:p>
          <w:p w:rsidR="00000000" w:rsidDel="00000000" w:rsidP="00000000" w:rsidRDefault="00000000" w:rsidRPr="00000000" w14:paraId="00000035">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Seminar classes: 20 hours</w:t>
            </w:r>
          </w:p>
          <w:p w:rsidR="00000000" w:rsidDel="00000000" w:rsidP="00000000" w:rsidRDefault="00000000" w:rsidRPr="00000000" w14:paraId="00000036">
            <w:pPr>
              <w:widowControl w:val="0"/>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Independent work by students: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8.0" w:type="dxa"/>
        <w:jc w:val="left"/>
        <w:tblLayout w:type="fixed"/>
        <w:tblLook w:val="0400"/>
      </w:tblPr>
      <w:tblGrid>
        <w:gridCol w:w="4678"/>
        <w:gridCol w:w="4820"/>
        <w:tblGridChange w:id="0">
          <w:tblGrid>
            <w:gridCol w:w="4678"/>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widowControl w:val="0"/>
        <w:ind w:right="0"/>
        <w:rPr>
          <w:b w:val="1"/>
          <w:bCs w:val="1"/>
          <w:sz w:val="28"/>
          <w:szCs w:val="28"/>
        </w:rPr>
      </w:pPr>
      <w:r w:rsidDel="00000000" w:rsidR="00000000" w:rsidRPr="00000000">
        <w:rPr>
          <w:rtl w:val="0"/>
        </w:rPr>
      </w:r>
    </w:p>
    <w:p w:rsidR="00000000" w:rsidDel="00000000" w:rsidP="00000000" w:rsidRDefault="00000000" w:rsidRPr="00000000" w14:paraId="00000054">
      <w:pPr>
        <w:widowControl w:val="0"/>
        <w:tabs>
          <w:tab w:val="left" w:leader="none" w:pos="567"/>
        </w:tabs>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Discipline’s description. </w:t>
      </w:r>
    </w:p>
    <w:p w:rsidR="00000000" w:rsidDel="00000000" w:rsidP="00000000" w:rsidRDefault="00000000" w:rsidRPr="00000000" w14:paraId="00000055">
      <w:pPr>
        <w:widowControl w:val="0"/>
        <w:tabs>
          <w:tab w:val="left" w:leader="none" w:pos="567"/>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academic discipline “Staff coaching” is important for the formation of modern knowledge, practical skills and competencies in the field of human resource development and personnel management among higher education seekers.</w:t>
      </w:r>
    </w:p>
    <w:p w:rsidR="00000000" w:rsidDel="00000000" w:rsidP="00000000" w:rsidRDefault="00000000" w:rsidRPr="00000000" w14:paraId="00000056">
      <w:pPr>
        <w:widowControl w:val="0"/>
        <w:tabs>
          <w:tab w:val="left" w:leader="none" w:pos="567"/>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course aims to help students understand the essence, goals and objectives of coaching as a tool for employee development, increasing their motivation, self-realisation and involvement in achieving the organisation's strategic goals. It reveals the role of coaching in the personnel management system, its impact on the professional growth of employees, the formation of corporate culture, the development of leadership and effective team interaction.</w:t>
      </w:r>
    </w:p>
    <w:p w:rsidR="00000000" w:rsidDel="00000000" w:rsidP="00000000" w:rsidRDefault="00000000" w:rsidRPr="00000000" w14:paraId="00000057">
      <w:pPr>
        <w:widowControl w:val="0"/>
        <w:tabs>
          <w:tab w:val="left" w:leader="none" w:pos="567"/>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training, students will learn about the theoretical foundations and practical methods of coaching, including principles, stages, models of coaching interaction, active listening techniques, questioning, goal setting and feedback. Particular attention is paid to the implementation of the coaching approach in HR practice, the evaluation of the effectiveness of coaching programmes, and the use of coaching as a tool for organisational development.</w:t>
      </w:r>
    </w:p>
    <w:p w:rsidR="00000000" w:rsidDel="00000000" w:rsidP="00000000" w:rsidRDefault="00000000" w:rsidRPr="00000000" w14:paraId="00000058">
      <w:pPr>
        <w:widowControl w:val="0"/>
        <w:tabs>
          <w:tab w:val="left" w:leader="none" w:pos="567"/>
        </w:tabs>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9">
      <w:pPr>
        <w:widowControl w:val="0"/>
        <w:tabs>
          <w:tab w:val="left" w:leader="none" w:pos="567"/>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subject of the discipline</w:t>
      </w:r>
      <w:r w:rsidDel="00000000" w:rsidR="00000000" w:rsidRPr="00000000">
        <w:rPr>
          <w:rFonts w:ascii="Times New Roman" w:cs="Times New Roman" w:eastAsia="Times New Roman" w:hAnsi="Times New Roman"/>
          <w:sz w:val="28"/>
          <w:szCs w:val="28"/>
          <w:rtl w:val="0"/>
        </w:rPr>
        <w:t xml:space="preserve"> is coaching as a modern personnel management methodology, human capital development technology, and a system for supporting the professional and personal growth of employees.</w:t>
      </w:r>
    </w:p>
    <w:p w:rsidR="00000000" w:rsidDel="00000000" w:rsidP="00000000" w:rsidRDefault="00000000" w:rsidRPr="00000000" w14:paraId="0000005A">
      <w:pPr>
        <w:widowControl w:val="0"/>
        <w:tabs>
          <w:tab w:val="left" w:leader="none" w:pos="567"/>
        </w:tabs>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B">
      <w:pPr>
        <w:widowControl w:val="0"/>
        <w:tabs>
          <w:tab w:val="left" w:leader="none" w:pos="567"/>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aim of the discipline</w:t>
      </w:r>
      <w:r w:rsidDel="00000000" w:rsidR="00000000" w:rsidRPr="00000000">
        <w:rPr>
          <w:rFonts w:ascii="Times New Roman" w:cs="Times New Roman" w:eastAsia="Times New Roman" w:hAnsi="Times New Roman"/>
          <w:sz w:val="28"/>
          <w:szCs w:val="28"/>
          <w:rtl w:val="0"/>
        </w:rPr>
        <w:t xml:space="preserve"> is to give students a comprehensive understanding of coaching as an effective tool for personnel development and to help them master the practical skills of its application to improve teamwork, motivation and the implementation of the organisation's strategic goals.</w:t>
      </w:r>
    </w:p>
    <w:p w:rsidR="00000000" w:rsidDel="00000000" w:rsidP="00000000" w:rsidRDefault="00000000" w:rsidRPr="00000000" w14:paraId="0000005C">
      <w:pPr>
        <w:widowControl w:val="0"/>
        <w:tabs>
          <w:tab w:val="left" w:leader="none" w:pos="567"/>
          <w:tab w:val="left" w:leader="none" w:pos="1406"/>
        </w:tabs>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D">
      <w:pPr>
        <w:widowControl w:val="0"/>
        <w:tabs>
          <w:tab w:val="left" w:leader="none" w:pos="567"/>
          <w:tab w:val="left" w:leader="none" w:pos="1406"/>
        </w:tabs>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objectives of the discipline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E">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ensure understanding of the essence, purpose, principles and types of coaching in the personnel management system.</w:t>
      </w:r>
    </w:p>
    <w:p w:rsidR="00000000" w:rsidDel="00000000" w:rsidP="00000000" w:rsidRDefault="00000000" w:rsidRPr="00000000" w14:paraId="0000005F">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Explain the differences between coaching and mentoring, training, counselling and mentoring, and define the limits of their practical application.</w:t>
      </w:r>
    </w:p>
    <w:p w:rsidR="00000000" w:rsidDel="00000000" w:rsidP="00000000" w:rsidRDefault="00000000" w:rsidRPr="00000000" w14:paraId="00000060">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familiarise students with the ethical norms and standards of coaching, to reveal the peculiarities of the "coach-client" interaction.</w:t>
      </w:r>
    </w:p>
    <w:p w:rsidR="00000000" w:rsidDel="00000000" w:rsidP="00000000" w:rsidRDefault="00000000" w:rsidRPr="00000000" w14:paraId="00000061">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 the ability to conduct coaching conversations, apply active listening techniques, ask questions and provide feedback.</w:t>
      </w:r>
    </w:p>
    <w:p w:rsidR="00000000" w:rsidDel="00000000" w:rsidP="00000000" w:rsidRDefault="00000000" w:rsidRPr="00000000" w14:paraId="00000062">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 how to apply coaching approaches in personnel management, motivation, assessment and development of employees.</w:t>
      </w:r>
    </w:p>
    <w:p w:rsidR="00000000" w:rsidDel="00000000" w:rsidP="00000000" w:rsidRDefault="00000000" w:rsidRPr="00000000" w14:paraId="00000063">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familiarise students with the stages, models and technologies of coaching interaction, in particular GROW, OSCAR, CLEAR, etc.</w:t>
      </w:r>
    </w:p>
    <w:p w:rsidR="00000000" w:rsidDel="00000000" w:rsidP="00000000" w:rsidRDefault="00000000" w:rsidRPr="00000000" w14:paraId="00000064">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 the communication, leadership, and emotional-intellectual competencies of students.</w:t>
      </w:r>
    </w:p>
    <w:p w:rsidR="00000000" w:rsidDel="00000000" w:rsidP="00000000" w:rsidRDefault="00000000" w:rsidRPr="00000000" w14:paraId="00000065">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Promote awareness of the role of coaching in creating a positive psychological climate and effective team relationships.</w:t>
      </w:r>
    </w:p>
    <w:p w:rsidR="00000000" w:rsidDel="00000000" w:rsidP="00000000" w:rsidRDefault="00000000" w:rsidRPr="00000000" w14:paraId="00000066">
      <w:pPr>
        <w:widowControl w:val="0"/>
        <w:numPr>
          <w:ilvl w:val="0"/>
          <w:numId w:val="1"/>
        </w:numPr>
        <w:tabs>
          <w:tab w:val="left" w:leader="none" w:pos="567"/>
        </w:tabs>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 how to evaluate the effectiveness of coaching programmes at the individual and organisational levels.</w:t>
      </w:r>
    </w:p>
    <w:p w:rsidR="00000000" w:rsidDel="00000000" w:rsidP="00000000" w:rsidRDefault="00000000" w:rsidRPr="00000000" w14:paraId="00000067">
      <w:pPr>
        <w:widowControl w:val="0"/>
        <w:numPr>
          <w:ilvl w:val="0"/>
          <w:numId w:val="1"/>
        </w:numPr>
        <w:tabs>
          <w:tab w:val="left" w:leader="none" w:pos="567"/>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familiarise students with the practice of implementing coaching in domestic and foreign companies, to identify the factors of success and typical difficulties in implementing coaching strategies.</w:t>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Prerequisites for the discipline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academic discipline “Staff coaching” is based on the knowledge and skills acquired in the study of the following disciplines: "Personnel Motivation", "Management", "Fundamentals of Marketing".</w:t>
      </w:r>
    </w:p>
    <w:p w:rsidR="00000000" w:rsidDel="00000000" w:rsidP="00000000" w:rsidRDefault="00000000" w:rsidRPr="00000000" w14:paraId="0000006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Post-requisites for the discipline:</w:t>
      </w:r>
      <w:r w:rsidDel="00000000" w:rsidR="00000000" w:rsidRPr="00000000">
        <w:rPr>
          <w:rtl w:val="0"/>
        </w:rPr>
      </w:r>
    </w:p>
    <w:p w:rsidR="00000000" w:rsidDel="00000000" w:rsidP="00000000" w:rsidRDefault="00000000" w:rsidRPr="00000000" w14:paraId="0000006D">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 knowledge, skills and competences acquired within the framework of this discipline form the basis for successful professional activity.</w:t>
      </w:r>
      <w:r w:rsidDel="00000000" w:rsidR="00000000" w:rsidRPr="00000000">
        <w:rPr>
          <w:rtl w:val="0"/>
        </w:rPr>
      </w:r>
    </w:p>
    <w:p w:rsidR="00000000" w:rsidDel="00000000" w:rsidP="00000000" w:rsidRDefault="00000000" w:rsidRPr="00000000" w14:paraId="0000006E">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F">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competences</w:t>
      </w:r>
    </w:p>
    <w:p w:rsidR="00000000" w:rsidDel="00000000" w:rsidP="00000000" w:rsidRDefault="00000000" w:rsidRPr="00000000" w14:paraId="00000070">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
        <w:tblpPr w:leftFromText="180" w:rightFromText="180" w:topFromText="0" w:bottomFromText="0" w:vertAnchor="text" w:horzAnchor="text" w:tblpX="153" w:tblpY="50"/>
        <w:tblW w:w="9748.0" w:type="dxa"/>
        <w:jc w:val="left"/>
        <w:tblInd w:w="-115.0" w:type="dxa"/>
        <w:tblLayout w:type="fixed"/>
        <w:tblLook w:val="0400"/>
      </w:tblPr>
      <w:tblGrid>
        <w:gridCol w:w="1995"/>
        <w:gridCol w:w="7753"/>
        <w:tblGridChange w:id="0">
          <w:tblGrid>
            <w:gridCol w:w="1995"/>
            <w:gridCol w:w="7753"/>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widowControl w:val="0"/>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competences</w:t>
            </w:r>
            <w:r w:rsidDel="00000000" w:rsidR="00000000" w:rsidRPr="00000000">
              <w:rPr>
                <w:rtl w:val="0"/>
              </w:rPr>
            </w:r>
          </w:p>
          <w:p w:rsidR="00000000" w:rsidDel="00000000" w:rsidP="00000000" w:rsidRDefault="00000000" w:rsidRPr="00000000" w14:paraId="00000072">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43"/>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GC2.</w:t>
            </w:r>
            <w:r w:rsidDel="00000000" w:rsidR="00000000" w:rsidRPr="00000000">
              <w:rPr>
                <w:rFonts w:ascii="Times New Roman" w:cs="Times New Roman" w:eastAsia="Times New Roman" w:hAnsi="Times New Roman"/>
                <w:color w:val="000000"/>
                <w:sz w:val="28"/>
                <w:szCs w:val="28"/>
                <w:rtl w:val="0"/>
              </w:rPr>
              <w:t xml:space="preserve"> Ability to communicate with representatives of other professional groups of different levels (with experts from other fields of knowledge / types of economic activity).</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43"/>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GC4. Ability to motivate people and move towards a common goal.</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43"/>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GC5. Ability to act on the basis of ethical considerations (motives).</w:t>
            </w:r>
          </w:p>
          <w:p w:rsidR="00000000" w:rsidDel="00000000" w:rsidP="00000000" w:rsidRDefault="00000000" w:rsidRPr="00000000" w14:paraId="00000076">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GC6. Ability to generate new ideas (creativity</w:t>
            </w:r>
            <w:r w:rsidDel="00000000" w:rsidR="00000000" w:rsidRPr="00000000">
              <w:rPr>
                <w:rFonts w:ascii="Times New Roman" w:cs="Times New Roman" w:eastAsia="Times New Roman" w:hAnsi="Times New Roman"/>
                <w:sz w:val="28"/>
                <w:szCs w:val="28"/>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widowControl w:val="0"/>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 competences</w:t>
            </w:r>
            <w:r w:rsidDel="00000000" w:rsidR="00000000" w:rsidRPr="00000000">
              <w:rPr>
                <w:rtl w:val="0"/>
              </w:rPr>
            </w:r>
          </w:p>
          <w:p w:rsidR="00000000" w:rsidDel="00000000" w:rsidP="00000000" w:rsidRDefault="00000000" w:rsidRPr="00000000" w14:paraId="00000078">
            <w:pPr>
              <w:widowControl w:val="0"/>
              <w:spacing w:after="0" w:line="240" w:lineRule="auto"/>
              <w:ind w:right="0"/>
              <w:jc w:val="both"/>
              <w:rPr>
                <w:rFonts w:ascii="Times New Roman" w:cs="Times New Roman" w:eastAsia="Times New Roman" w:hAnsi="Times New Roman"/>
                <w:b w:val="1"/>
                <w:bCs w:val="1"/>
                <w:sz w:val="28"/>
                <w:szCs w:val="28"/>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SC3. Ability to self-development, lifelong learning and effective self-management.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SC6. Ability to form leadership qualities and demonstrate them in the process of managing people. </w:t>
            </w:r>
          </w:p>
          <w:p w:rsidR="00000000" w:rsidDel="00000000" w:rsidP="00000000" w:rsidRDefault="00000000" w:rsidRPr="00000000" w14:paraId="0000007B">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SC8. Ability to use psychological technologies of work with staff.</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widowControl w:val="0"/>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Intended learning outcomes</w:t>
            </w:r>
            <w:r w:rsidDel="00000000" w:rsidR="00000000" w:rsidRPr="00000000">
              <w:rPr>
                <w:rtl w:val="0"/>
              </w:rPr>
            </w:r>
          </w:p>
          <w:p w:rsidR="00000000" w:rsidDel="00000000" w:rsidP="00000000" w:rsidRDefault="00000000" w:rsidRPr="00000000" w14:paraId="0000007D">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ILO7. Organize and carry out effective communications within the team, with representatives of different professional groups and in the international context. </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ILO10. Demonstrate leadership skills and the ability to work in a team, interact with people, influence their behavior to solve professional problems. </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ILO12. To be able to delegate authority and management of the organization (unit). </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ILO13. To be able to plan and implement information, methodological, material, financial and personnel support of the organization (unit), business.</w:t>
            </w:r>
          </w:p>
          <w:p w:rsidR="00000000" w:rsidDel="00000000" w:rsidP="00000000" w:rsidRDefault="00000000" w:rsidRPr="00000000" w14:paraId="00000082">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ILO15. Demonstrate the ability to succeed in making a profit from ideas and intellectual knowledge through innovation, using the potential of the innovation economy, taking into account potential threats and risks.</w:t>
            </w:r>
          </w:p>
        </w:tc>
      </w:tr>
    </w:tbl>
    <w:p w:rsidR="00000000" w:rsidDel="00000000" w:rsidP="00000000" w:rsidRDefault="00000000" w:rsidRPr="00000000" w14:paraId="00000083">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60" w:tblpY="197"/>
        <w:tblW w:w="9748.000000000002" w:type="dxa"/>
        <w:jc w:val="left"/>
        <w:tblInd w:w="-115.0" w:type="dxa"/>
        <w:tblLayout w:type="fixed"/>
        <w:tblLook w:val="0400"/>
      </w:tblPr>
      <w:tblGrid>
        <w:gridCol w:w="1101"/>
        <w:gridCol w:w="3969"/>
        <w:gridCol w:w="567"/>
        <w:gridCol w:w="567"/>
        <w:gridCol w:w="567"/>
        <w:gridCol w:w="2977"/>
        <w:tblGridChange w:id="0">
          <w:tblGrid>
            <w:gridCol w:w="1101"/>
            <w:gridCol w:w="3969"/>
            <w:gridCol w:w="567"/>
            <w:gridCol w:w="567"/>
            <w:gridCol w:w="567"/>
            <w:gridCol w:w="2977"/>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b w:val="1"/>
                <w:bCs w:val="1"/>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rtl w:val="0"/>
              </w:rPr>
              <w:t xml:space="preserve">Number of hours, of which :</w:t>
            </w:r>
            <w:r w:rsidDel="00000000" w:rsidR="00000000" w:rsidRPr="00000000">
              <w:rPr>
                <w:rtl w:val="0"/>
              </w:rPr>
            </w:r>
          </w:p>
        </w:tc>
      </w:tr>
      <w:tr>
        <w:trPr>
          <w:cantSplit w:val="0"/>
          <w:trHeight w:val="128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E">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rtl w:val="0"/>
              </w:rPr>
              <w:t xml:space="preserve">Teaching methods /assessment methods</w:t>
            </w: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1st semester</w:t>
            </w:r>
          </w:p>
          <w:p w:rsidR="00000000" w:rsidDel="00000000" w:rsidP="00000000" w:rsidRDefault="00000000" w:rsidRPr="00000000" w14:paraId="00000092">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Content module 1. Theoretical foundations and methods of personnel coaching.</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7">
            <w:pPr>
              <w:widowControl w:val="0"/>
              <w:spacing w:after="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Teaching methods: </w:t>
            </w:r>
            <w:r w:rsidDel="00000000" w:rsidR="00000000" w:rsidRPr="00000000">
              <w:rPr>
                <w:rFonts w:ascii="Times New Roman" w:cs="Times New Roman" w:eastAsia="Times New Roman" w:hAnsi="Times New Roman"/>
                <w:sz w:val="24"/>
                <w:szCs w:val="24"/>
                <w:rtl w:val="0"/>
              </w:rPr>
              <w:t xml:space="preserve">verbal (lectures; conversations; educational discussions); inductive method; deductive method; analytical; synthetic; reproductive; problem-based method; partial-search method; research method; interactive methods (situation analysis; discussions, debates, polemics; dialogue, synthesis of opinions; brainstorming; skills practice; situational modelling, discussion questions); modelling of professional activity; innovative teaching methods (competence-based; project-based research); case method.</w:t>
            </w:r>
          </w:p>
          <w:p w:rsidR="00000000" w:rsidDel="00000000" w:rsidP="00000000" w:rsidRDefault="00000000" w:rsidRPr="00000000" w14:paraId="00000098">
            <w:pPr>
              <w:widowControl w:val="0"/>
              <w:spacing w:after="0" w:line="240" w:lineRule="auto"/>
              <w:ind w:right="0"/>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Assessment methods: </w:t>
            </w:r>
            <w:r w:rsidDel="00000000" w:rsidR="00000000" w:rsidRPr="00000000">
              <w:rPr>
                <w:rFonts w:ascii="Times New Roman" w:cs="Times New Roman" w:eastAsia="Times New Roman" w:hAnsi="Times New Roman"/>
                <w:sz w:val="24"/>
                <w:szCs w:val="24"/>
                <w:rtl w:val="0"/>
              </w:rPr>
              <w:t xml:space="preserve">oral assessment (oral questioning, assessment of participation in discussions, other interactive teaching methods ); written assessment (tests, independent work, abstracts, essays); test control (closed-form tests: alternative tests, matching tests); self-control and self-assessment method; assessment of case tasks.</w:t>
            </w:r>
            <w:r w:rsidDel="00000000" w:rsidR="00000000" w:rsidRPr="00000000">
              <w:rPr>
                <w:rtl w:val="0"/>
              </w:rPr>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Topic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The essence, purpose and objectives of coaching in the personnel management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Topic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The role of coaching in organisational development and professional growth of employees.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Basic principles, stages and methods of coaching.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Coaching technologies and tools in personnel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Coaching as a tool for developing leadership and teamwork.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17"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2. Practical aspects of implementing coaching in organisations.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Modern models of coaching interaction in domestic and foreign companies.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Coaching and career growth of employees.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Shaping corporate culture through coaching.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The effectiveness of coaching and criteria for its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Practice of implementing coaching in Ukrainian organisations.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Modular test </w:t>
            </w: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widowControl w:val="0"/>
              <w:spacing w:after="0" w:line="240" w:lineRule="auto"/>
              <w:ind w:right="0"/>
              <w:jc w:val="center"/>
              <w:rPr>
                <w:rFonts w:ascii="Times New Roman" w:cs="Times New Roman" w:eastAsia="Times New Roman" w:hAnsi="Times New Roman"/>
                <w:b w:val="1"/>
                <w:bCs w:val="1"/>
                <w:sz w:val="28"/>
                <w:szCs w:val="28"/>
                <w:highlight w:val="yellow"/>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Final assessment: </w:t>
            </w:r>
            <w:r w:rsidDel="00000000" w:rsidR="00000000" w:rsidRPr="00000000">
              <w:rPr>
                <w:rFonts w:ascii="Times New Roman" w:cs="Times New Roman" w:eastAsia="Times New Roman" w:hAnsi="Times New Roman"/>
                <w:b w:val="1"/>
                <w:bCs w:val="1"/>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ED">
      <w:pPr>
        <w:widowControl w:val="0"/>
        <w:spacing w:after="0" w:line="240" w:lineRule="auto"/>
        <w:ind w:right="0"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Technical equipment and/or software</w:t>
      </w:r>
      <w:r w:rsidDel="00000000" w:rsidR="00000000" w:rsidRPr="00000000">
        <w:rPr>
          <w:rFonts w:ascii="Times New Roman" w:cs="Times New Roman" w:eastAsia="Times New Roman" w:hAnsi="Times New Roman"/>
          <w:color w:val="000000"/>
          <w:sz w:val="28"/>
          <w:szCs w:val="28"/>
          <w:rtl w:val="0"/>
        </w:rPr>
        <w:t xml:space="preserve"> – official website of </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http://</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Forms and methods of assessment.</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Methods of ongoing assessment include: </w:t>
      </w:r>
      <w:r w:rsidDel="00000000" w:rsidR="00000000" w:rsidRPr="00000000">
        <w:rPr>
          <w:rFonts w:ascii="Times New Roman" w:cs="Times New Roman" w:eastAsia="Times New Roman" w:hAnsi="Times New Roman"/>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ind w:right="0" w:firstLine="851"/>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Grading system and requirements.</w:t>
      </w:r>
    </w:p>
    <w:p w:rsidR="00000000" w:rsidDel="00000000" w:rsidP="00000000" w:rsidRDefault="00000000" w:rsidRPr="00000000" w14:paraId="00000101">
      <w:pPr>
        <w:widowControl w:val="0"/>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of distribution of points received by students</w:t>
      </w:r>
    </w:p>
    <w:p w:rsidR="00000000" w:rsidDel="00000000" w:rsidP="00000000" w:rsidRDefault="00000000" w:rsidRPr="00000000" w14:paraId="0000010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tbl>
      <w:tblPr>
        <w:tblStyle w:val="Table6"/>
        <w:tblW w:w="9746.0" w:type="dxa"/>
        <w:jc w:val="left"/>
        <w:tblLayout w:type="fixed"/>
        <w:tblLook w:val="0400"/>
      </w:tblPr>
      <w:tblGrid>
        <w:gridCol w:w="1626"/>
        <w:gridCol w:w="487"/>
        <w:gridCol w:w="7"/>
        <w:gridCol w:w="481"/>
        <w:gridCol w:w="487"/>
        <w:gridCol w:w="7"/>
        <w:gridCol w:w="481"/>
        <w:gridCol w:w="494"/>
        <w:gridCol w:w="444"/>
        <w:gridCol w:w="444"/>
        <w:gridCol w:w="444"/>
        <w:gridCol w:w="444"/>
        <w:gridCol w:w="25"/>
        <w:gridCol w:w="366"/>
        <w:gridCol w:w="1418"/>
        <w:gridCol w:w="1013"/>
        <w:gridCol w:w="1078"/>
        <w:tblGridChange w:id="0">
          <w:tblGrid>
            <w:gridCol w:w="1626"/>
            <w:gridCol w:w="487"/>
            <w:gridCol w:w="7"/>
            <w:gridCol w:w="481"/>
            <w:gridCol w:w="487"/>
            <w:gridCol w:w="7"/>
            <w:gridCol w:w="481"/>
            <w:gridCol w:w="494"/>
            <w:gridCol w:w="444"/>
            <w:gridCol w:w="444"/>
            <w:gridCol w:w="444"/>
            <w:gridCol w:w="444"/>
            <w:gridCol w:w="25"/>
            <w:gridCol w:w="366"/>
            <w:gridCol w:w="1418"/>
            <w:gridCol w:w="1013"/>
            <w:gridCol w:w="1078"/>
          </w:tblGrid>
        </w:tblGridChange>
      </w:tblGrid>
      <w:tr>
        <w:trPr>
          <w:cantSplit w:val="0"/>
          <w:trHeight w:val="1123"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w:t>
            </w:r>
          </w:p>
        </w:tc>
        <w:tc>
          <w:tcPr>
            <w:gridSpan w:val="13"/>
            <w:tcBorders>
              <w:top w:color="000000" w:space="0" w:sz="4" w:val="single"/>
              <w:left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Module assessment task</w:t>
            </w: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Final test</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r w:rsidDel="00000000" w:rsidR="00000000" w:rsidRPr="00000000">
              <w:rPr>
                <w:rtl w:val="0"/>
              </w:rPr>
            </w:r>
          </w:p>
        </w:tc>
      </w:tr>
      <w:tr>
        <w:trPr>
          <w:cantSplit w:val="0"/>
          <w:trHeight w:val="1307"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1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gridSpan w:val="2"/>
            <w:tcBorders>
              <w:left w:color="000000" w:space="0" w:sz="4" w:val="single"/>
              <w:bottom w:color="000000" w:space="0" w:sz="4" w:val="single"/>
            </w:tcBorders>
          </w:tcPr>
          <w:p w:rsidR="00000000" w:rsidDel="00000000" w:rsidP="00000000" w:rsidRDefault="00000000" w:rsidRPr="00000000" w14:paraId="0000011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1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1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left w:color="000000" w:space="0" w:sz="4" w:val="single"/>
              <w:bottom w:color="000000" w:space="0" w:sz="4" w:val="single"/>
            </w:tcBorders>
          </w:tcPr>
          <w:p w:rsidR="00000000" w:rsidDel="00000000" w:rsidP="00000000" w:rsidRDefault="00000000" w:rsidRPr="00000000" w14:paraId="0000011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gridSpan w:val="2"/>
            <w:tcBorders>
              <w:left w:color="000000" w:space="0" w:sz="4" w:val="single"/>
              <w:bottom w:color="000000" w:space="0" w:sz="4" w:val="single"/>
            </w:tcBorders>
          </w:tcPr>
          <w:p w:rsidR="00000000" w:rsidDel="00000000" w:rsidP="00000000" w:rsidRDefault="00000000" w:rsidRPr="00000000" w14:paraId="0000012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vMerge w:val="restart"/>
            <w:tcBorders>
              <w:left w:color="000000" w:space="0" w:sz="4" w:val="single"/>
              <w:bottom w:color="000000" w:space="0" w:sz="4" w:val="single"/>
            </w:tcBorders>
          </w:tcPr>
          <w:p w:rsidR="00000000" w:rsidDel="00000000" w:rsidP="00000000" w:rsidRDefault="00000000" w:rsidRPr="00000000" w14:paraId="0000012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Merge w:val="restart"/>
            <w:tcBorders>
              <w:left w:color="000000" w:space="0" w:sz="4" w:val="single"/>
              <w:bottom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gridSpan w:val="2"/>
            <w:tcBorders>
              <w:left w:color="000000" w:space="0" w:sz="4" w:val="single"/>
              <w:bottom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gridSpan w:val="2"/>
            <w:tcBorders>
              <w:left w:color="000000" w:space="0" w:sz="4" w:val="single"/>
              <w:bottom w:color="000000" w:space="0" w:sz="4" w:val="single"/>
            </w:tcBorders>
          </w:tcPr>
          <w:p w:rsidR="00000000" w:rsidDel="00000000" w:rsidP="00000000" w:rsidRDefault="00000000" w:rsidRPr="00000000" w14:paraId="0000013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gridSpan w:val="2"/>
            <w:tcBorders>
              <w:left w:color="000000" w:space="0" w:sz="4" w:val="single"/>
              <w:bottom w:color="000000" w:space="0" w:sz="4" w:val="single"/>
            </w:tcBorders>
          </w:tcPr>
          <w:p w:rsidR="00000000" w:rsidDel="00000000" w:rsidP="00000000" w:rsidRDefault="00000000" w:rsidRPr="00000000" w14:paraId="0000013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Merge w:val="continue"/>
            <w:tcBorders>
              <w:left w:color="000000" w:space="0" w:sz="4" w:val="single"/>
              <w:bottom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gridSpan w:val="2"/>
            <w:tcBorders>
              <w:left w:color="000000" w:space="0" w:sz="4" w:val="single"/>
              <w:bottom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gridSpan w:val="2"/>
            <w:tcBorders>
              <w:left w:color="000000" w:space="0" w:sz="4" w:val="single"/>
              <w:bottom w:color="000000" w:space="0" w:sz="4" w:val="single"/>
            </w:tcBorders>
          </w:tcPr>
          <w:p w:rsidR="00000000" w:rsidDel="00000000" w:rsidP="00000000" w:rsidRDefault="00000000" w:rsidRPr="00000000" w14:paraId="0000014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4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4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4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4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4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4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gridSpan w:val="2"/>
            <w:tcBorders>
              <w:left w:color="000000" w:space="0" w:sz="4" w:val="single"/>
              <w:bottom w:color="000000" w:space="0" w:sz="4" w:val="single"/>
            </w:tcBorders>
          </w:tcPr>
          <w:p w:rsidR="00000000" w:rsidDel="00000000" w:rsidP="00000000" w:rsidRDefault="00000000" w:rsidRPr="00000000" w14:paraId="0000014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Merge w:val="continue"/>
            <w:tcBorders>
              <w:left w:color="000000" w:space="0" w:sz="4" w:val="single"/>
              <w:bottom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4D">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table contains information about the maximum points for each type of assignment.</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Modular assessment.</w:t>
      </w:r>
      <w:r w:rsidDel="00000000" w:rsidR="00000000" w:rsidRPr="00000000">
        <w:rPr>
          <w:rFonts w:ascii="Times New Roman" w:cs="Times New Roman" w:eastAsia="Times New Roman" w:hAnsi="Times New Roman"/>
          <w:color w:val="000000"/>
          <w:sz w:val="28"/>
          <w:szCs w:val="28"/>
          <w:rtl w:val="0"/>
        </w:rPr>
        <w:t xml:space="preserve"> Modular assessment in the discipline “</w:t>
      </w:r>
      <w:r w:rsidDel="00000000" w:rsidR="00000000" w:rsidRPr="00000000">
        <w:rPr>
          <w:rFonts w:ascii="Times New Roman" w:cs="Times New Roman" w:eastAsia="Times New Roman" w:hAnsi="Times New Roman"/>
          <w:sz w:val="28"/>
          <w:szCs w:val="28"/>
          <w:rtl w:val="0"/>
        </w:rPr>
        <w:t xml:space="preserve">Staff coaching”</w:t>
      </w:r>
      <w:r w:rsidDel="00000000" w:rsidR="00000000" w:rsidRPr="00000000">
        <w:rPr>
          <w:rFonts w:ascii="Times New Roman" w:cs="Times New Roman" w:eastAsia="Times New Roman" w:hAnsi="Times New Roman"/>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Criteria for evaluating the modular test in the academic discipline “</w:t>
      </w:r>
      <w:r w:rsidDel="00000000" w:rsidR="00000000" w:rsidRPr="00000000">
        <w:rPr>
          <w:rFonts w:ascii="Times New Roman" w:cs="Times New Roman" w:eastAsia="Times New Roman" w:hAnsi="Times New Roman"/>
          <w:sz w:val="28"/>
          <w:szCs w:val="28"/>
          <w:rtl w:val="0"/>
        </w:rPr>
        <w:t xml:space="preserve">Staff coaching”</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(B) is given for the completion of 80% of all tasks;</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(C) is given for the completion of 70% of all tasks;</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(D) is given if 60% of the proposed tasks are completed correctly;</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"unsatisfactory" (FX) is given if less than 50% of the tasks are completed.</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Absence from the modular test work - 0 points.</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above grades are transformed into rating points as follows:</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- 18-20 points;</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- 16-17 points;</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- 14-15 points;</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- 12-13 points.</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- 10-11 points;</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 - less than 10 points.</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assessment in the discipline “</w:t>
      </w:r>
      <w:r w:rsidDel="00000000" w:rsidR="00000000" w:rsidRPr="00000000">
        <w:rPr>
          <w:rFonts w:ascii="Times New Roman" w:cs="Times New Roman" w:eastAsia="Times New Roman" w:hAnsi="Times New Roman"/>
          <w:sz w:val="28"/>
          <w:szCs w:val="28"/>
          <w:rtl w:val="0"/>
        </w:rPr>
        <w:t xml:space="preserve">Staff coaching”</w:t>
      </w:r>
      <w:r w:rsidDel="00000000" w:rsidR="00000000" w:rsidRPr="00000000">
        <w:rPr>
          <w:rFonts w:ascii="Times New Roman" w:cs="Times New Roman" w:eastAsia="Times New Roman" w:hAnsi="Times New Roman"/>
          <w:color w:val="000000"/>
          <w:sz w:val="28"/>
          <w:szCs w:val="28"/>
          <w:rtl w:val="0"/>
        </w:rPr>
        <w:t xml:space="preserve">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additional (individual) types of educational activities.</w:t>
      </w:r>
      <w:r w:rsidDel="00000000" w:rsidR="00000000" w:rsidRPr="00000000">
        <w:rPr>
          <w:rFonts w:ascii="Times New Roman" w:cs="Times New Roman" w:eastAsia="Times New Roman" w:hAnsi="Times New Roman"/>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3 points using standardized and generalized knowledge assessment criteria.</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evaluating the performance of independent work (individual tasks)</w:t>
      </w:r>
    </w:p>
    <w:tbl>
      <w:tblPr>
        <w:tblStyle w:val="Table7"/>
        <w:tblW w:w="9692.0" w:type="dxa"/>
        <w:jc w:val="left"/>
        <w:tblInd w:w="-60.0"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Execution level</w:t>
            </w:r>
          </w:p>
        </w:tc>
      </w:tr>
      <w:tr>
        <w:trPr>
          <w:cantSplit w:val="0"/>
          <w:trHeight w:val="996" w:hRule="atLeast"/>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assess the learning outcomes of a student during the semester, a 100-point, national and ECTS assessment scale is used</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Summary assessment scale: national and ECTS</w:t>
      </w:r>
    </w:p>
    <w:tbl>
      <w:tblPr>
        <w:tblStyle w:val="Table8"/>
        <w:tblW w:w="9535.0" w:type="dxa"/>
        <w:jc w:val="left"/>
        <w:tblInd w:w="-1.999999999999993" w:type="dxa"/>
        <w:tblLayout w:type="fixed"/>
        <w:tblLook w:val="0000"/>
      </w:tblPr>
      <w:tblGrid>
        <w:gridCol w:w="2009"/>
        <w:gridCol w:w="1501"/>
        <w:gridCol w:w="3581"/>
        <w:gridCol w:w="2444"/>
        <w:tblGridChange w:id="0">
          <w:tblGrid>
            <w:gridCol w:w="2009"/>
            <w:gridCol w:w="1501"/>
            <w:gridCol w:w="3581"/>
            <w:gridCol w:w="2444"/>
          </w:tblGrid>
        </w:tblGridChange>
      </w:tblGrid>
      <w:tr>
        <w:trPr>
          <w:cantSplit w:val="0"/>
          <w:trHeight w:val="681"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National scale assessment for exam, course project (work), internship</w:t>
            </w:r>
          </w:p>
        </w:tc>
      </w:tr>
      <w:tr>
        <w:trPr>
          <w:cantSplit w:val="0"/>
          <w:trHeight w:val="962"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ind w:right="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fail</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fail</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 with mandatory re-study of the discipline</w:t>
            </w:r>
          </w:p>
        </w:tc>
      </w:tr>
    </w:tbl>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Discipline’s Policy:</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regularly attend lectures and practical classes;</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work systematically and actively in lectures and practical classes;</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catch-up on missed classes;</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the tasks required by the syllabus in full and with appropriate quality;</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control and other independent work;</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adhere to the norms of academic behaviour and ethics.</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ind w:right="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discipline “</w:t>
      </w:r>
      <w:r w:rsidDel="00000000" w:rsidR="00000000" w:rsidRPr="00000000">
        <w:rPr>
          <w:rFonts w:ascii="Times New Roman" w:cs="Times New Roman" w:eastAsia="Times New Roman" w:hAnsi="Times New Roman"/>
          <w:sz w:val="28"/>
          <w:szCs w:val="28"/>
          <w:rtl w:val="0"/>
        </w:rPr>
        <w:t xml:space="preserve">Staff coaching”</w:t>
      </w:r>
      <w:r w:rsidDel="00000000" w:rsidR="00000000" w:rsidRPr="00000000">
        <w:rPr>
          <w:rFonts w:ascii="Times New Roman" w:cs="Times New Roman" w:eastAsia="Times New Roman" w:hAnsi="Times New Roman"/>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ind w:right="0"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Methodological support of the academic discipline</w:t>
      </w:r>
    </w:p>
    <w:p w:rsidR="00000000" w:rsidDel="00000000" w:rsidP="00000000" w:rsidRDefault="00000000" w:rsidRPr="00000000" w14:paraId="000001C0">
      <w:pPr>
        <w:spacing w:after="0" w:line="24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rFonts w:ascii="Times New Roman" w:cs="Times New Roman" w:eastAsia="Times New Roman" w:hAnsi="Times New Roman"/>
          <w:sz w:val="28"/>
          <w:szCs w:val="28"/>
          <w:rtl w:val="0"/>
        </w:rPr>
        <w:t xml:space="preserve">Staff coaching”</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C1">
      <w:pPr>
        <w:pStyle w:val="Heading1"/>
        <w:spacing w:after="0" w:before="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widowControl w:val="0"/>
        <w:tabs>
          <w:tab w:val="left" w:leader="none" w:pos="993"/>
        </w:tabs>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Recommended sources of information:</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Vitmor J. The Inner Strength of a Leader. Coaching as a method of personnel management / translated from English. Kyiv: Nash Format, 2018. 288 p.</w:t>
      </w:r>
    </w:p>
    <w:p w:rsidR="00000000" w:rsidDel="00000000" w:rsidP="00000000" w:rsidRDefault="00000000" w:rsidRPr="00000000" w14:paraId="000001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567"/>
          <w:tab w:val="left" w:leader="none" w:pos="709"/>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H. A., Golovach, N. V., Zhalat-Lozynska, L. O. Strategy for the Development of Humanity. New Humanism in Education: Scientific and Publicistic Publication / Edited by H. A. Dmytrenko. Kyiv: DKS-Center, 2021. 257 p. </w:t>
      </w:r>
    </w:p>
    <w:p w:rsidR="00000000" w:rsidDel="00000000" w:rsidP="00000000" w:rsidRDefault="00000000" w:rsidRPr="00000000" w14:paraId="000001C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Coaching for Leaders of Public Organisations: Manual. Kyiv: European Education Foundation, 2022. 72 p.</w:t>
      </w:r>
    </w:p>
    <w:p w:rsidR="00000000" w:rsidDel="00000000" w:rsidP="00000000" w:rsidRDefault="00000000" w:rsidRPr="00000000" w14:paraId="000001C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Nezhynska O. O., Tymenko V. M. Fundamentals of Coaching: Training Manual. Kyiv: NVP Interservice LLC, 2017. 220 p.</w:t>
      </w:r>
    </w:p>
    <w:p w:rsidR="00000000" w:rsidDel="00000000" w:rsidP="00000000" w:rsidRDefault="00000000" w:rsidRPr="00000000" w14:paraId="000001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Rudenko O. M., Kozura I. V., Tkalenko N. V., Margasova V. G. Personnel Management / “HR Management in Public Administration”: textbook. – Kyiv: Kondor, 2024. – 124 p.</w:t>
      </w:r>
    </w:p>
    <w:p w:rsidR="00000000" w:rsidDel="00000000" w:rsidP="00000000" w:rsidRDefault="00000000" w:rsidRPr="00000000" w14:paraId="000001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Rulyev V. A., Gutkevich S. O., Mostenska T. L. Human Resource Management: Textbook. – Kyiv: Kondor Publishing House, 2024. – 310 p.</w:t>
      </w:r>
    </w:p>
    <w:p w:rsidR="00000000" w:rsidDel="00000000" w:rsidP="00000000" w:rsidRDefault="00000000" w:rsidRPr="00000000" w14:paraId="000001CA">
      <w:pPr>
        <w:widowControl w:val="0"/>
        <w:tabs>
          <w:tab w:val="left" w:leader="none" w:pos="851"/>
        </w:tabs>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CB">
      <w:pPr>
        <w:widowControl w:val="0"/>
        <w:tabs>
          <w:tab w:val="left" w:leader="none" w:pos="567"/>
          <w:tab w:val="left" w:leader="none" w:pos="851"/>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Additional literature:</w:t>
      </w: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Avanesova N., Getman O., Sergienko Yu. (2020). Coaching as an effective technology for developing the emotional competence of future managers. Novyi Kolegium, 4. P. 108-112. http://nbuv.gov.ua/UJRN/NovKol_2020_4_22</w:t>
      </w:r>
    </w:p>
    <w:p w:rsidR="00000000" w:rsidDel="00000000" w:rsidP="00000000" w:rsidRDefault="00000000" w:rsidRPr="00000000" w14:paraId="000001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42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Braikovska, A., Hrytsenko, T., &amp; Timofeeva, K. Coaching for leaders of public organisations. Kyiv: Eastern Europe Foundation, 2022. 81 p. URL:</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https://eef.org.ua/wp-content/uploads/2022/05/Posibnyk-z-kouchyngu-dlya-lideriv-gromadskyh-organizatsij_3D-Project.pdf</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42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Varina, G., Kovalova, O., Guz, N. Coaching as an Innovative Human Resource Management Technology. Dnipro Scientific Journal of Public Administration, Psychology, Law. 2023. Issue 2. P. 67–76. DOI:</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https://doi.org/10.51547/ppp.dp.ua/2023.2.10</w:t>
        </w:r>
      </w:hyperlink>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Golovach N. V. Analysis of global experience in economic education of human resource management specialists. Scientific Works of the MAUP. Series: Economic Sciences, 2018, Issue 56(2), pp. 38–45.</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http://library.iapm.edu.ua/Naukovi_vydannya/Naukovi_praci_MAUP/Naukovi_praci_MAUP_56(2-2018)_Ekonom.pdf</w:t>
        </w:r>
      </w:hyperlink>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567"/>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Golovach N. V., Dmytrenko G. A. Improving the quality of the labour potential of organisations, taking into account the needs of employers and employees.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Scientific Notes of V. I. Vernadsky Ternopil National University. Series: Economics and Management.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Volume 30 (69). No. 6, 2019. pp. 43–48.</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http://www.econ.vernadskyjournals.in.ua/journals/2019/30_69_6/30_69_6_2/10.pdf</w:t>
        </w:r>
      </w:hyperlink>
      <w:r w:rsidDel="00000000" w:rsidR="00000000" w:rsidRPr="00000000">
        <w:rPr>
          <w:rtl w:val="0"/>
        </w:rPr>
      </w:r>
    </w:p>
    <w:p w:rsidR="00000000" w:rsidDel="00000000" w:rsidP="00000000" w:rsidRDefault="00000000" w:rsidRPr="00000000" w14:paraId="000001D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567"/>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Golovach N. V., Zgalat-Lozynska L. O. Directions for improving the validity of social and labour standards as a tool for implementing the concept of decent work.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Black Sea Economic Studies</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Economic Scientific and Practical Journal.</w:t>
      </w:r>
      <w:r w:rsidDel="00000000" w:rsidR="00000000" w:rsidRPr="00000000">
        <w:rPr>
          <w:rFonts w:ascii="Times New Roman" w:cs="Times New Roman" w:eastAsia="Times New Roman" w:hAnsi="Times New Roman"/>
          <w:b w:val="1"/>
          <w:bCs w:val="1"/>
          <w:i w:val="1"/>
          <w:iCs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Demography, labour economics, social economics and politics.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Issue 49/2020. Pp. 141-145.</w:t>
      </w:r>
      <w:r w:rsidDel="00000000" w:rsidR="00000000" w:rsidRPr="00000000">
        <w:rPr>
          <w:rtl w:val="0"/>
        </w:rPr>
      </w:r>
    </w:p>
    <w:p w:rsidR="00000000" w:rsidDel="00000000" w:rsidP="00000000" w:rsidRDefault="00000000" w:rsidRPr="00000000" w14:paraId="000001D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426"/>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 A., Pomytkin E. O., Golovach N. V. Formation of self-actualising students in a globalised world.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Youth and the Market: Monthly Scientific and Pedagogical Journal. 2020. Issue 1 (180). Pp. 12-18.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DOI:</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https://doi.org/10.24919/2308-4634.2020.195709</w:t>
        </w:r>
      </w:hyperlink>
      <w:r w:rsidDel="00000000" w:rsidR="00000000" w:rsidRPr="00000000">
        <w:rPr>
          <w:rtl w:val="0"/>
        </w:rPr>
      </w:r>
    </w:p>
    <w:p w:rsidR="00000000" w:rsidDel="00000000" w:rsidP="00000000" w:rsidRDefault="00000000" w:rsidRPr="00000000" w14:paraId="000001D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567"/>
          <w:tab w:val="left" w:leader="none" w:pos="709"/>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H. A., Holovach, N. V., Zhalat-Lozynska, L. O., Semenets-Orlova, I. A. How to make education in Ukraine a world leader in shaping the best human qualities: a project-journalistic publication / Edited by H. A. Dmytrenko. Kyiv: DKS-Centre, 2022. 84 p.</w:t>
      </w:r>
    </w:p>
    <w:p w:rsidR="00000000" w:rsidDel="00000000" w:rsidP="00000000" w:rsidRDefault="00000000" w:rsidRPr="00000000" w14:paraId="000001D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0"/>
          <w:tab w:val="left" w:leader="none" w:pos="142"/>
          <w:tab w:val="left" w:leader="none" w:pos="567"/>
          <w:tab w:val="left" w:leader="none" w:pos="709"/>
          <w:tab w:val="left" w:leader="none" w:pos="993"/>
          <w:tab w:val="left" w:leader="none" w:pos="127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 A., Zhalat-Lozynska L. O., Golovach N. V., Doroshenko L. S., Lapytska N. I., Danylyuk L. S., Riktor T. L. Scientific and technological foundations for the formation of competitive human capital in the education system in line with new humanism:  monograph / G. A. Dmitrenko, L. O. Zgalat-Lozinska, N. V. Golovach et al.; edited by G. A. Dmitrenko. Kyiv: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Interregional Academy of Personnel Management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2024. 300 p.</w:t>
      </w:r>
    </w:p>
    <w:p w:rsidR="00000000" w:rsidDel="00000000" w:rsidP="00000000" w:rsidRDefault="00000000" w:rsidRPr="00000000" w14:paraId="000001D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0"/>
          <w:tab w:val="left" w:leader="none" w:pos="142"/>
          <w:tab w:val="left" w:leader="none" w:pos="567"/>
          <w:tab w:val="left" w:leader="none" w:pos="709"/>
          <w:tab w:val="left" w:leader="none" w:pos="993"/>
          <w:tab w:val="left" w:leader="none" w:pos="1134"/>
          <w:tab w:val="left" w:leader="none" w:pos="127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 A., Golovach N. V., Golovach D. M., Zgalat-Lozynska L. O., Oliinyk V. V., Pomytkin E. O., Semenets-Orlova I. A. Innovative Development of Humanity at the Turn of Time: The Ukrainian Systemic Path: Scientific and Publicistic Publication / Edited by G. A. Dmytrenko, V. V. Oliinyk. Kyiv: DKS-Centre, 2024. 242 p.</w:t>
      </w:r>
    </w:p>
    <w:p w:rsidR="00000000" w:rsidDel="00000000" w:rsidP="00000000" w:rsidRDefault="00000000" w:rsidRPr="00000000" w14:paraId="000001D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567"/>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G.A., Golovach N.V. Opportunities for increasing the competitiveness of the economy based on human resources. Scientific works of the MAUP. Series: Economic Sciences, Issue 1 (59), 2020. pp. 24-31.</w:t>
      </w: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567"/>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 A., Golovach, N. V. The human-centred essence of economic development. Economy and Society.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Issue No. 29 / 2021.</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https://doi.org/10.32782/2524-0072/2021-29-8</w:t>
        </w:r>
      </w:hyperlink>
      <w:r w:rsidDel="00000000" w:rsidR="00000000" w:rsidRPr="00000000">
        <w:rPr>
          <w:rtl w:val="0"/>
        </w:rPr>
      </w:r>
    </w:p>
    <w:p w:rsidR="00000000" w:rsidDel="00000000" w:rsidP="00000000" w:rsidRDefault="00000000" w:rsidRPr="00000000" w14:paraId="000001D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567"/>
          <w:tab w:val="left" w:leader="none" w:pos="601"/>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 A., Golovach N. V., Zgalat-Lozynska L. O. Human-centred economy: the role of human potential quality in the economic growth and decline of Ukraine and the world / G. A. Dmytrenko, N. V. Golovach, L. O. Zgalat-Lozynska // Scientific works of the Interregional Academy of Personnel Management. Economic Sciences. – 2025. – No. 3(79). – P. 19-27. – DOI:</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https://doi.org/10.32689/2523-4536/79-2</w:t>
        </w:r>
      </w:hyperlink>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Zgalat-Lozinska L. O., Golovach N. V. Method for assessing the development of management personnel at domestic enterprises. Innovative Economy. 2018. No. 9-10 [77]. P. 69-74.</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http://inneco.org/index.php/innecoua/article/view/336</w:t>
        </w:r>
      </w:hyperlink>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Kalinin, A. M. Substantive part of coaching components in the human resource management system of an enterprise. Scientific works of MAUP. Economic sciences. 2021. Issue 2 (61). Pp. 81–88. DOI:</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https://doi.org/10.32689/2523-4536/61-12</w:t>
        </w:r>
      </w:hyperlink>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426"/>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Kalinin A. M. Coaching as a personnel management tool in today's competitive environment. No. 4 (76) (2024): Scientific works of the Interregional Academy of Personnel Management. Economic sciences. DOI: https://doi.org/10.32689/2523-4536/76-11.</w:t>
      </w:r>
    </w:p>
    <w:p w:rsidR="00000000" w:rsidDel="00000000" w:rsidP="00000000" w:rsidRDefault="00000000" w:rsidRPr="00000000" w14:paraId="000001D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426"/>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Lipich L.G., Khilukha O.A., Kushnir M.A. Coaching as a form of developing "soft" competencies of enterprise employees. Scientific View: Economics and Management. 2020. No. 2. Pp. 140-146. URL:</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http://nbuv.gov.ua/UJRN/vamsue_2020_2_27</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426"/>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Lomaga Yu.R., Nahirna M.Ya. Advantages and disadvantages of coaching in Ukraine in the context of European integration. Management and entrepreneurship in Ukraine: the stages of formation and problems of development. 2022. Vol. 4, numb. 2. P. 183-191. URL:</w:t>
      </w:r>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http://nbuv.gov.ua/UJRN/meu_2022_4_2_23</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426"/>
          <w:tab w:val="left" w:leader="none" w:pos="993"/>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Chernyshova L.I., Stoyanova M.I. The impact of coaching technologies on the development of an organisation's human resources potential. Economics. Finance. Law. 2021. No. 12(1). Pp. 14-18. URL:</w:t>
      </w:r>
      <w:hyperlink r:id="rId1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http://nbuv.gov.ua/UJRN/ecfipr_2021_12(1)__5</w:t>
        </w:r>
      </w:hyperlink>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0"/>
          <w:tab w:val="left" w:leader="none" w:pos="142"/>
          <w:tab w:val="left" w:leader="none" w:pos="567"/>
          <w:tab w:val="left" w:leader="none" w:pos="709"/>
          <w:tab w:val="left" w:leader="none" w:pos="993"/>
          <w:tab w:val="left" w:leader="none" w:pos="1134"/>
          <w:tab w:val="left" w:leader="none" w:pos="127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Nataliia Holovach,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Ivan Bakhov, Liubov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Zgalat-Lоzynska. (2019)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innovation-driven model for management personnel development at enterprises. </w:t>
      </w:r>
      <w:r w:rsidDel="00000000" w:rsidR="00000000" w:rsidRPr="00000000">
        <w:rPr>
          <w:rFonts w:ascii="Times New Roman" w:cs="Times New Roman" w:eastAsia="Times New Roman" w:hAnsi="Times New Roman"/>
          <w:b w:val="0"/>
          <w:bCs w:val="0"/>
          <w:i w:val="1"/>
          <w:iCs w:val="1"/>
          <w:smallCaps w:val="0"/>
          <w:strike w:val="0"/>
          <w:color w:val="000000"/>
          <w:sz w:val="28"/>
          <w:szCs w:val="28"/>
          <w:highlight w:val="white"/>
          <w:u w:val="none"/>
          <w:vertAlign w:val="baseline"/>
          <w:rtl w:val="0"/>
        </w:rPr>
        <w:t xml:space="preserve">Journal of Advanced Research in Dynamical and Control Systems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Vol. 11, 12-Special Issue: 1266 - 1277. DOI: 10.5373/JARDCS/V11SP12/20193335</w:t>
      </w:r>
      <w:hyperlink r:id="rId2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https://www.jardcs.org/abstract.php?id=3453#</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0"/>
          <w:tab w:val="left" w:leader="none" w:pos="142"/>
          <w:tab w:val="left" w:leader="none" w:pos="567"/>
          <w:tab w:val="left" w:leader="none" w:pos="709"/>
          <w:tab w:val="left" w:leader="none" w:pos="993"/>
          <w:tab w:val="left" w:leader="none" w:pos="1134"/>
          <w:tab w:val="left" w:leader="none" w:pos="127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Nataliia Holovach,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Gennady Dmitrenko, Ivan Bakhov. (2020). Digitalisation of the Education System: Formation of Personality According to Parameters. Journal of Advanced Research in Dynamical &amp; Control Systems, Vol. 12, 04-Special Issue, 2020, P. 849-860. DOI:</w:t>
      </w:r>
      <w:hyperlink r:id="rId2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10.5373/JARDCS/V12SP4/20201555</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hyperlink r:id="rId2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https://www.jardcs.org/archivesview.php?volume=3&amp;issue=28&amp;page=4</w:t>
        </w:r>
      </w:hyperlink>
      <w:r w:rsidDel="00000000" w:rsidR="00000000" w:rsidRPr="00000000">
        <w:rPr>
          <w:rtl w:val="0"/>
        </w:rPr>
      </w:r>
    </w:p>
    <w:p w:rsidR="00000000" w:rsidDel="00000000" w:rsidP="00000000" w:rsidRDefault="00000000" w:rsidRPr="00000000" w14:paraId="000001E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0"/>
          <w:tab w:val="left" w:leader="none" w:pos="142"/>
          <w:tab w:val="left" w:leader="none" w:pos="567"/>
          <w:tab w:val="left" w:leader="none" w:pos="709"/>
          <w:tab w:val="left" w:leader="none" w:pos="993"/>
          <w:tab w:val="left" w:leader="none" w:pos="1134"/>
          <w:tab w:val="left" w:leader="none" w:pos="1276"/>
        </w:tabs>
        <w:spacing w:after="0" w:before="0" w:line="240" w:lineRule="auto"/>
        <w:ind w:left="567"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Khang, A., Semenets-Orlova, I., Dmytrenko, H., Holovach, N., Zgalat-Lozynska, L., &amp; Shevchuk, R. (2024). Human-Centred Approach as a Methodological Tendency of Personnel Management in the Workplace. In AI-Oriented Competency Framework for Talent Management in the Digital Economy (pp. 416-432). CRC Press,</w:t>
      </w:r>
      <w:hyperlink r:id="rId2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https://doi.org/10.1201/9781003440901</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2">
      <w:pPr>
        <w:widowControl w:val="0"/>
        <w:tabs>
          <w:tab w:val="left" w:leader="none" w:pos="714"/>
          <w:tab w:val="left" w:leader="none" w:pos="851"/>
        </w:tabs>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E3">
      <w:pPr>
        <w:widowControl w:val="0"/>
        <w:tabs>
          <w:tab w:val="left" w:leader="none" w:pos="714"/>
          <w:tab w:val="left" w:leader="none" w:pos="851"/>
        </w:tabs>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Information resources:</w:t>
      </w:r>
    </w:p>
    <w:p w:rsidR="00000000" w:rsidDel="00000000" w:rsidP="00000000" w:rsidRDefault="00000000" w:rsidRPr="00000000" w14:paraId="000001E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2023 Global Coaching Study. International Coach Federation. URL:</w:t>
      </w:r>
      <w:hyperlink r:id="rId2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https://coachingfederation.org/research/global-coaching-study</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 Vernadsky National Library of Ukraine. URL:</w:t>
      </w:r>
      <w:hyperlink r:id="rId2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http://www.nbuv.gov.ua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Association of Coaches. Professional community of coaches, webinars and materials. – URL: https://coach.org.ua</w:t>
      </w:r>
    </w:p>
    <w:p w:rsidR="00000000" w:rsidDel="00000000" w:rsidP="00000000" w:rsidRDefault="00000000" w:rsidRPr="00000000" w14:paraId="000001E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CoachHub. International online platform for coaching and leadership development. – URL: https://www.coachhub.io</w:t>
      </w:r>
    </w:p>
    <w:p w:rsidR="00000000" w:rsidDel="00000000" w:rsidP="00000000" w:rsidRDefault="00000000" w:rsidRPr="00000000" w14:paraId="000001E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Coursera. Online courses in coaching, HR and leadership. URL: https://www.coursera.org</w:t>
      </w:r>
    </w:p>
    <w:p w:rsidR="00000000" w:rsidDel="00000000" w:rsidP="00000000" w:rsidRDefault="00000000" w:rsidRPr="00000000" w14:paraId="000001E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rm4m7yih6mlw"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YouCoach. Platform for staff training and coaching. URL: https://www.youcoach.com.ua</w:t>
      </w:r>
    </w:p>
    <w:p w:rsidR="00000000" w:rsidDel="00000000" w:rsidP="00000000" w:rsidRDefault="00000000" w:rsidRPr="00000000" w14:paraId="000001E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HRForum. Professional resource for HR and coaching practitioners. URL: https://hrforum.ua</w:t>
      </w:r>
    </w:p>
    <w:p w:rsidR="00000000" w:rsidDel="00000000" w:rsidP="00000000" w:rsidRDefault="00000000" w:rsidRPr="00000000" w14:paraId="000001E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LinkedIn Learning. Courses on coaching and personnel management. URL: https://www.linkedin.com/learning/</w:t>
      </w:r>
    </w:p>
    <w:p w:rsidR="00000000" w:rsidDel="00000000" w:rsidP="00000000" w:rsidRDefault="00000000" w:rsidRPr="00000000" w14:paraId="000001E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142"/>
          <w:tab w:val="left" w:leader="none" w:pos="851"/>
          <w:tab w:val="left" w:leader="none" w:pos="993"/>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Skillshare. Platform for online coaching and business training. URL: https://www.skillshare.com</w:t>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ind w:firstLine="709"/>
      <w:jc w:val="both"/>
    </w:pPr>
    <w:rPr>
      <w:rFonts w:ascii="Calibri" w:cs="Calibri" w:eastAsia="Calibri" w:hAnsi="Calibri"/>
      <w:b w:val="1"/>
      <w:bCs w:val="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tabs>
        <w:tab w:val="left" w:leader="none" w:pos="0"/>
      </w:tabs>
      <w:spacing w:after="60" w:before="240" w:line="240" w:lineRule="auto"/>
      <w:jc w:val="both"/>
    </w:pPr>
    <w:rPr>
      <w:rFonts w:ascii="Calibri" w:cs="Calibri" w:eastAsia="Calibri" w:hAnsi="Calibri"/>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mphasis"/>
    <w:basedOn w:val="a0"/>
    <w:uiPriority w:val="20"/>
    <w:qFormat w:val="1"/>
    <w:rPr>
      <w:rFonts w:cs="Times New Roman"/>
      <w:i w:val="1"/>
      <w:iCs w:val="1"/>
    </w:rPr>
  </w:style>
  <w:style w:type="character" w:styleId="a4">
    <w:name w:val="Hyperlink"/>
    <w:basedOn w:val="a0"/>
    <w:uiPriority w:val="99"/>
    <w:unhideWhenUsed w:val="1"/>
    <w:qFormat w:val="1"/>
    <w:rPr>
      <w:color w:val="0563c1" w:themeColor="hyperlink"/>
      <w:u w:val="single"/>
    </w:rPr>
  </w:style>
  <w:style w:type="character" w:styleId="a5">
    <w:name w:val="Strong"/>
    <w:basedOn w:val="a0"/>
    <w:uiPriority w:val="22"/>
    <w:qFormat w:val="1"/>
    <w:rPr>
      <w:b w:val="1"/>
      <w:bCs w:val="1"/>
    </w:rPr>
  </w:style>
  <w:style w:type="paragraph" w:styleId="a6">
    <w:name w:val="Balloon Text"/>
    <w:basedOn w:val="a"/>
    <w:link w:val="a7"/>
    <w:uiPriority w:val="99"/>
    <w:semiHidden w:val="1"/>
    <w:unhideWhenUsed w:val="1"/>
    <w:pPr>
      <w:spacing w:after="0" w:line="240" w:lineRule="auto"/>
    </w:pPr>
    <w:rPr>
      <w:rFonts w:ascii="Tahoma" w:cs="Tahoma" w:hAnsi="Tahoma"/>
      <w:sz w:val="16"/>
      <w:szCs w:val="16"/>
    </w:rPr>
  </w:style>
  <w:style w:type="paragraph" w:styleId="a8">
    <w:name w:val="Body Text Indent"/>
    <w:basedOn w:val="a"/>
    <w:link w:val="a9"/>
    <w:qFormat w:val="1"/>
    <w:pPr>
      <w:suppressAutoHyphens w:val="1"/>
      <w:spacing w:after="120" w:line="240" w:lineRule="auto"/>
      <w:ind w:left="283"/>
    </w:pPr>
    <w:rPr>
      <w:rFonts w:ascii="Times New Roman" w:cs="Times New Roman" w:eastAsia="Times New Roman" w:hAnsi="Times New Roman"/>
      <w:sz w:val="20"/>
      <w:szCs w:val="20"/>
      <w:lang w:eastAsia="ru-RU" w:val="ru-RU"/>
    </w:rPr>
  </w:style>
  <w:style w:type="paragraph" w:styleId="aa">
    <w:name w:val="Normal (Web)"/>
    <w:basedOn w:val="a"/>
    <w:uiPriority w:val="99"/>
    <w:unhideWhenUsed w:val="1"/>
    <w:qFormat w:val="1"/>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table" w:styleId="ab">
    <w:name w:val="Table Grid"/>
    <w:basedOn w:val="a1"/>
    <w:uiPriority w:val="39"/>
    <w:qFormat w:val="1"/>
    <w:rPr>
      <w:kern w:val="2"/>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c" w:customStyle="1">
    <w:name w:val="Подпись к картинке_"/>
    <w:basedOn w:val="a0"/>
    <w:link w:val="ad"/>
    <w:qFormat w:val="1"/>
    <w:rPr>
      <w:rFonts w:ascii="Times New Roman" w:cs="Times New Roman" w:eastAsia="Times New Roman" w:hAnsi="Times New Roman"/>
      <w:shd w:color="auto" w:fill="ffffff" w:val="clear"/>
    </w:rPr>
  </w:style>
  <w:style w:type="paragraph" w:styleId="ad" w:customStyle="1">
    <w:name w:val="Подпись к картинке"/>
    <w:basedOn w:val="a"/>
    <w:link w:val="ac"/>
    <w:qFormat w:val="1"/>
    <w:pPr>
      <w:widowControl w:val="0"/>
      <w:shd w:color="auto" w:fill="ffffff" w:val="clear"/>
      <w:spacing w:after="0" w:line="235" w:lineRule="auto"/>
    </w:pPr>
    <w:rPr>
      <w:rFonts w:ascii="Times New Roman" w:cs="Times New Roman" w:eastAsia="Times New Roman" w:hAnsi="Times New Roman"/>
    </w:rPr>
  </w:style>
  <w:style w:type="character" w:styleId="ae" w:customStyle="1">
    <w:name w:val="Основной текст_"/>
    <w:basedOn w:val="a0"/>
    <w:link w:val="11"/>
    <w:qFormat w:val="1"/>
    <w:rPr>
      <w:rFonts w:ascii="Times New Roman" w:cs="Times New Roman" w:eastAsia="Times New Roman" w:hAnsi="Times New Roman"/>
      <w:shd w:color="auto" w:fill="ffffff" w:val="clear"/>
    </w:rPr>
  </w:style>
  <w:style w:type="paragraph" w:styleId="11" w:customStyle="1">
    <w:name w:val="Основной текст1"/>
    <w:basedOn w:val="a"/>
    <w:link w:val="ae"/>
    <w:qFormat w:val="1"/>
    <w:pPr>
      <w:widowControl w:val="0"/>
      <w:shd w:color="auto" w:fill="ffffff" w:val="clear"/>
      <w:spacing w:after="0" w:line="240" w:lineRule="auto"/>
      <w:ind w:firstLine="400"/>
    </w:pPr>
    <w:rPr>
      <w:rFonts w:ascii="Times New Roman" w:cs="Times New Roman" w:eastAsia="Times New Roman" w:hAnsi="Times New Roman"/>
    </w:rPr>
  </w:style>
  <w:style w:type="character" w:styleId="21" w:customStyle="1">
    <w:name w:val="Основной текст (2)_"/>
    <w:basedOn w:val="a0"/>
    <w:link w:val="22"/>
    <w:qFormat w:val="1"/>
    <w:rPr>
      <w:rFonts w:ascii="Times New Roman" w:cs="Times New Roman" w:eastAsia="Times New Roman" w:hAnsi="Times New Roman"/>
      <w:b w:val="1"/>
      <w:bCs w:val="1"/>
      <w:sz w:val="28"/>
      <w:szCs w:val="28"/>
      <w:shd w:color="auto" w:fill="ffffff" w:val="clear"/>
    </w:rPr>
  </w:style>
  <w:style w:type="paragraph" w:styleId="22" w:customStyle="1">
    <w:name w:val="Основной текст (2)"/>
    <w:basedOn w:val="a"/>
    <w:link w:val="21"/>
    <w:qFormat w:val="1"/>
    <w:pPr>
      <w:widowControl w:val="0"/>
      <w:shd w:color="auto" w:fill="ffffff" w:val="clear"/>
      <w:spacing w:after="80" w:line="240" w:lineRule="auto"/>
      <w:jc w:val="center"/>
    </w:pPr>
    <w:rPr>
      <w:rFonts w:ascii="Times New Roman" w:cs="Times New Roman" w:eastAsia="Times New Roman" w:hAnsi="Times New Roman"/>
      <w:b w:val="1"/>
      <w:bCs w:val="1"/>
      <w:sz w:val="28"/>
      <w:szCs w:val="28"/>
    </w:rPr>
  </w:style>
  <w:style w:type="character" w:styleId="12" w:customStyle="1">
    <w:name w:val="Заголовок №1_"/>
    <w:basedOn w:val="a0"/>
    <w:link w:val="13"/>
    <w:qFormat w:val="1"/>
    <w:rPr>
      <w:rFonts w:ascii="Times New Roman" w:cs="Times New Roman" w:eastAsia="Times New Roman" w:hAnsi="Times New Roman"/>
      <w:b w:val="1"/>
      <w:bCs w:val="1"/>
      <w:color w:val="002060"/>
      <w:sz w:val="32"/>
      <w:szCs w:val="32"/>
      <w:shd w:color="auto" w:fill="ffffff" w:val="clear"/>
    </w:rPr>
  </w:style>
  <w:style w:type="paragraph" w:styleId="13" w:customStyle="1">
    <w:name w:val="Заголовок №1"/>
    <w:basedOn w:val="a"/>
    <w:link w:val="12"/>
    <w:qFormat w:val="1"/>
    <w:pPr>
      <w:widowControl w:val="0"/>
      <w:shd w:color="auto" w:fill="ffffff" w:val="clear"/>
      <w:spacing w:after="1000" w:line="240" w:lineRule="auto"/>
      <w:jc w:val="center"/>
      <w:outlineLvl w:val="0"/>
    </w:pPr>
    <w:rPr>
      <w:rFonts w:ascii="Times New Roman" w:cs="Times New Roman" w:eastAsia="Times New Roman" w:hAnsi="Times New Roman"/>
      <w:b w:val="1"/>
      <w:bCs w:val="1"/>
      <w:color w:val="002060"/>
      <w:sz w:val="32"/>
      <w:szCs w:val="32"/>
    </w:rPr>
  </w:style>
  <w:style w:type="character" w:styleId="af" w:customStyle="1">
    <w:name w:val="Другое_"/>
    <w:basedOn w:val="a0"/>
    <w:link w:val="af0"/>
    <w:qFormat w:val="1"/>
    <w:rPr>
      <w:rFonts w:ascii="Times New Roman" w:cs="Times New Roman" w:eastAsia="Times New Roman" w:hAnsi="Times New Roman"/>
      <w:shd w:color="auto" w:fill="ffffff" w:val="clear"/>
    </w:rPr>
  </w:style>
  <w:style w:type="paragraph" w:styleId="af0" w:customStyle="1">
    <w:name w:val="Другое"/>
    <w:basedOn w:val="a"/>
    <w:link w:val="af"/>
    <w:qFormat w:val="1"/>
    <w:pPr>
      <w:widowControl w:val="0"/>
      <w:shd w:color="auto" w:fill="ffffff" w:val="clear"/>
      <w:spacing w:after="0" w:line="240" w:lineRule="auto"/>
      <w:ind w:firstLine="400"/>
    </w:pPr>
    <w:rPr>
      <w:rFonts w:ascii="Times New Roman" w:cs="Times New Roman" w:eastAsia="Times New Roman" w:hAnsi="Times New Roman"/>
    </w:rPr>
  </w:style>
  <w:style w:type="character" w:styleId="af1" w:customStyle="1">
    <w:name w:val="Подпись к таблице_"/>
    <w:basedOn w:val="a0"/>
    <w:link w:val="af2"/>
    <w:qFormat w:val="1"/>
    <w:rPr>
      <w:rFonts w:ascii="Times New Roman" w:cs="Times New Roman" w:eastAsia="Times New Roman" w:hAnsi="Times New Roman"/>
      <w:b w:val="1"/>
      <w:bCs w:val="1"/>
      <w:shd w:color="auto" w:fill="ffffff" w:val="clear"/>
    </w:rPr>
  </w:style>
  <w:style w:type="paragraph" w:styleId="af2" w:customStyle="1">
    <w:name w:val="Подпись к таблице"/>
    <w:basedOn w:val="a"/>
    <w:link w:val="af1"/>
    <w:qFormat w:val="1"/>
    <w:pPr>
      <w:widowControl w:val="0"/>
      <w:shd w:color="auto" w:fill="ffffff" w:val="clear"/>
      <w:spacing w:after="0" w:line="240" w:lineRule="auto"/>
    </w:pPr>
    <w:rPr>
      <w:rFonts w:ascii="Times New Roman" w:cs="Times New Roman" w:eastAsia="Times New Roman" w:hAnsi="Times New Roman"/>
      <w:b w:val="1"/>
      <w:bCs w:val="1"/>
    </w:rPr>
  </w:style>
  <w:style w:type="paragraph" w:styleId="af3">
    <w:name w:val="List Paragraph"/>
    <w:basedOn w:val="a"/>
    <w:link w:val="af4"/>
    <w:uiPriority w:val="34"/>
    <w:qFormat w:val="1"/>
    <w:pPr>
      <w:ind w:left="720"/>
      <w:contextualSpacing w:val="1"/>
    </w:pPr>
  </w:style>
  <w:style w:type="paragraph" w:styleId="Standard" w:customStyle="1">
    <w:name w:val="Standard"/>
    <w:qFormat w:val="1"/>
    <w:pPr>
      <w:suppressAutoHyphens w:val="1"/>
      <w:autoSpaceDN w:val="0"/>
    </w:pPr>
    <w:rPr>
      <w:rFonts w:ascii="Times New Roman" w:cs="Times New Roman" w:eastAsia="Times New Roman" w:hAnsi="Times New Roman"/>
      <w:kern w:val="2"/>
      <w:sz w:val="24"/>
      <w:szCs w:val="24"/>
      <w:lang w:eastAsia="zh-CN" w:val="en-US"/>
    </w:rPr>
  </w:style>
  <w:style w:type="character" w:styleId="14" w:customStyle="1">
    <w:name w:val="Неразрешенное упоминание1"/>
    <w:basedOn w:val="a0"/>
    <w:uiPriority w:val="99"/>
    <w:semiHidden w:val="1"/>
    <w:unhideWhenUsed w:val="1"/>
    <w:qFormat w:val="1"/>
    <w:rPr>
      <w:color w:val="605e5c"/>
      <w:shd w:color="auto" w:fill="e1dfdd" w:val="clear"/>
    </w:rPr>
  </w:style>
  <w:style w:type="character" w:styleId="a7" w:customStyle="1">
    <w:name w:val="Текст выноски Знак"/>
    <w:basedOn w:val="a0"/>
    <w:link w:val="a6"/>
    <w:uiPriority w:val="99"/>
    <w:semiHidden w:val="1"/>
    <w:qFormat w:val="1"/>
    <w:rPr>
      <w:rFonts w:ascii="Tahoma" w:cs="Tahoma" w:hAnsi="Tahoma"/>
      <w:sz w:val="16"/>
      <w:szCs w:val="16"/>
    </w:rPr>
  </w:style>
  <w:style w:type="character" w:styleId="a9" w:customStyle="1">
    <w:name w:val="Основной текст с отступом Знак"/>
    <w:basedOn w:val="a0"/>
    <w:link w:val="a8"/>
    <w:qFormat w:val="1"/>
    <w:rPr>
      <w:rFonts w:ascii="Times New Roman" w:cs="Times New Roman" w:eastAsia="Times New Roman" w:hAnsi="Times New Roman"/>
      <w:sz w:val="20"/>
      <w:szCs w:val="20"/>
      <w:lang w:eastAsia="ru-RU" w:val="ru-RU"/>
    </w:rPr>
  </w:style>
  <w:style w:type="character" w:styleId="FontStyle17" w:customStyle="1">
    <w:name w:val="Font Style17"/>
    <w:qFormat w:val="1"/>
    <w:rPr>
      <w:rFonts w:ascii="Times New Roman" w:cs="Times New Roman" w:hAnsi="Times New Roman"/>
      <w:color w:val="000000"/>
      <w:sz w:val="26"/>
      <w:szCs w:val="26"/>
    </w:rPr>
  </w:style>
  <w:style w:type="character" w:styleId="af4" w:customStyle="1">
    <w:name w:val="Абзац списка Знак"/>
    <w:link w:val="af3"/>
    <w:uiPriority w:val="34"/>
    <w:qFormat w:val="1"/>
    <w:locked w:val="1"/>
  </w:style>
  <w:style w:type="character" w:styleId="30" w:customStyle="1">
    <w:name w:val="Заголовок 3 Знак"/>
    <w:basedOn w:val="a0"/>
    <w:link w:val="3"/>
    <w:uiPriority w:val="9"/>
    <w:qFormat w:val="1"/>
    <w:rPr>
      <w:rFonts w:ascii="Times New Roman" w:cs="Times New Roman" w:eastAsia="Times New Roman" w:hAnsi="Times New Roman"/>
      <w:b w:val="1"/>
      <w:bCs w:val="1"/>
      <w:sz w:val="27"/>
      <w:szCs w:val="27"/>
      <w:lang w:eastAsia="ru-RU" w:val="ru-RU"/>
    </w:rPr>
  </w:style>
  <w:style w:type="paragraph" w:styleId="af5" w:customStyle="1">
    <w:name w:val="Вміст таблиці"/>
    <w:basedOn w:val="a"/>
    <w:qFormat w:val="1"/>
    <w:pPr>
      <w:widowControl w:val="0"/>
      <w:suppressLineNumbers w:val="1"/>
    </w:pPr>
  </w:style>
  <w:style w:type="character" w:styleId="20" w:customStyle="1">
    <w:name w:val="Заголовок 2 Знак"/>
    <w:basedOn w:val="a0"/>
    <w:link w:val="2"/>
    <w:uiPriority w:val="9"/>
    <w:semiHidden w:val="1"/>
    <w:rsid w:val="00CA6163"/>
    <w:rPr>
      <w:rFonts w:asciiTheme="majorHAnsi" w:cstheme="majorBidi" w:eastAsiaTheme="majorEastAsia" w:hAnsiTheme="majorHAnsi"/>
      <w:color w:val="2e74b5" w:themeColor="accent1" w:themeShade="0000BF"/>
      <w:sz w:val="26"/>
      <w:szCs w:val="26"/>
      <w:lang w:eastAsia="en-US" w:val="uk-UA"/>
    </w:rPr>
  </w:style>
  <w:style w:type="character" w:styleId="60" w:customStyle="1">
    <w:name w:val="Заголовок 6 Знак"/>
    <w:basedOn w:val="a0"/>
    <w:link w:val="6"/>
    <w:uiPriority w:val="6"/>
    <w:rsid w:val="00CA6163"/>
    <w:rPr>
      <w:rFonts w:ascii="Calibri" w:cs="Times New Roman" w:eastAsia="Times New Roman" w:hAnsi="Calibri"/>
      <w:b w:val="1"/>
      <w:bCs w:val="1"/>
      <w:sz w:val="22"/>
      <w:szCs w:val="22"/>
      <w:lang w:eastAsia="zh-CN"/>
    </w:rPr>
  </w:style>
  <w:style w:type="paragraph" w:styleId="af6">
    <w:name w:val="No Spacing"/>
    <w:uiPriority w:val="1"/>
    <w:qFormat w:val="1"/>
    <w:rsid w:val="00CA6163"/>
    <w:rPr>
      <w:rFonts w:ascii="Calibri" w:cs="Times New Roman" w:eastAsia="Calibri" w:hAnsi="Calibri"/>
      <w:kern w:val="2"/>
      <w:sz w:val="24"/>
      <w:szCs w:val="24"/>
      <w:lang w:eastAsia="en-US" w:val="en-US"/>
    </w:rPr>
  </w:style>
  <w:style w:type="character" w:styleId="WW8Num12z1" w:customStyle="1">
    <w:name w:val="WW8Num12z1"/>
    <w:uiPriority w:val="3"/>
    <w:rsid w:val="002D6188"/>
    <w:rPr>
      <w:rFonts w:ascii="Courier New" w:cs="Courier New" w:hAnsi="Courier New" w:hint="default"/>
    </w:rPr>
  </w:style>
  <w:style w:type="character" w:styleId="10" w:customStyle="1">
    <w:name w:val="Заголовок 1 Знак"/>
    <w:basedOn w:val="a0"/>
    <w:link w:val="1"/>
    <w:rsid w:val="000A08EC"/>
    <w:rPr>
      <w:rFonts w:asciiTheme="majorHAnsi" w:cstheme="majorBidi" w:eastAsiaTheme="majorEastAsia" w:hAnsiTheme="majorHAnsi"/>
      <w:b w:val="1"/>
      <w:bCs w:val="1"/>
      <w:kern w:val="32"/>
      <w:sz w:val="32"/>
      <w:szCs w:val="32"/>
      <w:lang w:eastAsia="zh-CN"/>
    </w:rPr>
  </w:style>
  <w:style w:type="character" w:styleId="WW8Num7z1" w:customStyle="1">
    <w:name w:val="WW8Num7z1"/>
    <w:uiPriority w:val="3"/>
    <w:rsid w:val="000A08EC"/>
    <w:rPr>
      <w:rFonts w:ascii="Courier New" w:cs="Courier New" w:hAnsi="Courier New" w:hint="defaul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jardcs.org/abstract.php?id=3453" TargetMode="External"/><Relationship Id="rId22" Type="http://schemas.openxmlformats.org/officeDocument/2006/relationships/hyperlink" Target="https://www.jardcs.org/archivesview.php?volume=3&amp;issue=28&amp;page=4" TargetMode="External"/><Relationship Id="rId21" Type="http://schemas.openxmlformats.org/officeDocument/2006/relationships/hyperlink" Target="http://doi.org/10.5373/JARDCS/V12SP4/20201555" TargetMode="External"/><Relationship Id="rId24" Type="http://schemas.openxmlformats.org/officeDocument/2006/relationships/hyperlink" Target="https://coachingfederation.org/research/global-coaching-study" TargetMode="External"/><Relationship Id="rId23" Type="http://schemas.openxmlformats.org/officeDocument/2006/relationships/hyperlink" Target="https://doi.org/10.1201/97810034409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51547/ppp.dp.ua/2023.2.10" TargetMode="External"/><Relationship Id="rId25" Type="http://schemas.openxmlformats.org/officeDocument/2006/relationships/hyperlink" Target="http://www.nbuv.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eef.org.ua/wp-content/uploads/2022/05/Posibnyk-z-kouchyngu-dlya-lideriv-gromadskyh-organizatsij_3D-Project.pdf" TargetMode="External"/><Relationship Id="rId11" Type="http://schemas.openxmlformats.org/officeDocument/2006/relationships/hyperlink" Target="http://www.econ.vernadskyjournals.in.ua/journals/2019/30_69_6/30_69_6_2/10.pdf" TargetMode="External"/><Relationship Id="rId10" Type="http://schemas.openxmlformats.org/officeDocument/2006/relationships/hyperlink" Target="http://library.iapm.edu.ua/Naukovi_vydannya/Naukovi_praci_MAUP/Naukovi_praci_MAUP_56(2-2018)_Ekonom.pdf" TargetMode="External"/><Relationship Id="rId13" Type="http://schemas.openxmlformats.org/officeDocument/2006/relationships/hyperlink" Target="https://doi.org/10.32782/2524-0072/2021-29-8" TargetMode="External"/><Relationship Id="rId12" Type="http://schemas.openxmlformats.org/officeDocument/2006/relationships/hyperlink" Target="https://doi.org/10.24919/2308-4634.2020.195709" TargetMode="External"/><Relationship Id="rId15" Type="http://schemas.openxmlformats.org/officeDocument/2006/relationships/hyperlink" Target="http://inneco.org/index.php/innecoua/article/view/336" TargetMode="External"/><Relationship Id="rId14" Type="http://schemas.openxmlformats.org/officeDocument/2006/relationships/hyperlink" Target="https://doi.org/10.32689/2523-4536/79-2" TargetMode="External"/><Relationship Id="rId17" Type="http://schemas.openxmlformats.org/officeDocument/2006/relationships/hyperlink" Target="http://nbuv.gov.ua/UJRN/vamsue_2020_2_27" TargetMode="External"/><Relationship Id="rId16" Type="http://schemas.openxmlformats.org/officeDocument/2006/relationships/hyperlink" Target="https://doi.org/10.32689/2523-4536/61-12" TargetMode="External"/><Relationship Id="rId19" Type="http://schemas.openxmlformats.org/officeDocument/2006/relationships/hyperlink" Target="http://nbuv.gov.ua/UJRN/ecfipr_2021_12(1)__5" TargetMode="External"/><Relationship Id="rId18" Type="http://schemas.openxmlformats.org/officeDocument/2006/relationships/hyperlink" Target="http://nbuv.gov.ua/UJRN/meu_2022_4_2_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Z1Ryqc24ZA/Y9QB5dmTl6JBog==">CgMxLjAyDmgucm00bTd5aWg2bWx3OAByITE0YXZFX2dYcGtIbGE4bWN2Rkp3ZmFGeWt2ZmVUWlpKcA==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2025-10-10T09:39:00Z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C7062585EEFA4407931F3499E175BEFE_12</vt:lpwstr>
  </property>
</Properties>
</file>