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BBEE1">
      <w:pPr>
        <w:spacing w:after="0" w:line="240" w:lineRule="auto"/>
        <w:ind w:right="-244"/>
        <w:jc w:val="center"/>
        <w:rPr>
          <w:rFonts w:ascii="Times New Roman" w:hAnsi="Times New Roman" w:eastAsia="Times New Roman" w:cs="Times New Roman"/>
          <w:color w:val="000000"/>
          <w:lang w:val="ru-RU"/>
        </w:rPr>
      </w:pPr>
      <w:bookmarkStart w:id="0" w:name="bookmark1"/>
      <w:bookmarkStart w:id="1" w:name="bookmark0"/>
      <w:r>
        <w:rPr>
          <w:rFonts w:ascii="Times New Roman" w:hAnsi="Times New Roman" w:eastAsia="Times New Roman" w:cs="Times New Roman"/>
          <w:b/>
          <w:bCs/>
          <w:color w:val="000000"/>
          <w:sz w:val="28"/>
          <w:szCs w:val="28"/>
          <w:lang w:val="ru-RU"/>
        </w:rPr>
        <w:t>ПрАТ</w:t>
      </w:r>
      <w:r>
        <w:rPr>
          <w:rFonts w:ascii="Times New Roman" w:hAnsi="Times New Roman" w:eastAsia="Times New Roman" w:cs="Times New Roman"/>
          <w:b/>
          <w:bCs/>
          <w:color w:val="000000"/>
          <w:sz w:val="28"/>
          <w:szCs w:val="28"/>
        </w:rPr>
        <w:t> </w:t>
      </w:r>
      <w:r>
        <w:rPr>
          <w:rFonts w:ascii="Times New Roman" w:hAnsi="Times New Roman" w:eastAsia="Times New Roman" w:cs="Times New Roman"/>
          <w:b/>
          <w:bCs/>
          <w:color w:val="000000"/>
          <w:sz w:val="28"/>
          <w:szCs w:val="28"/>
          <w:lang w:val="ru-RU"/>
        </w:rPr>
        <w:t xml:space="preserve"> «ВНЗ «МІЖРЕГІОНАЛЬНА АКАДЕМІЯ УПРАВЛІННЯ ПЕРСОНАЛОМ»</w:t>
      </w:r>
    </w:p>
    <w:p w14:paraId="07F6703E">
      <w:pPr>
        <w:spacing w:after="0" w:line="240" w:lineRule="auto"/>
        <w:rPr>
          <w:rFonts w:ascii="Times New Roman" w:hAnsi="Times New Roman" w:eastAsia="Times New Roman" w:cs="Times New Roman"/>
          <w:color w:val="000000"/>
          <w:lang w:val="ru-RU"/>
        </w:rPr>
      </w:pPr>
    </w:p>
    <w:p w14:paraId="143CBE56">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lang w:val="ru-RU" w:eastAsia="ru-RU"/>
        </w:rPr>
        <w:drawing>
          <wp:inline distT="0" distB="0" distL="0" distR="0">
            <wp:extent cx="690880" cy="817245"/>
            <wp:effectExtent l="0" t="0" r="0" b="0"/>
            <wp:docPr id="11569027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2791" name="Picture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0880" cy="817245"/>
                    </a:xfrm>
                    <a:prstGeom prst="rect">
                      <a:avLst/>
                    </a:prstGeom>
                    <a:noFill/>
                    <a:ln>
                      <a:noFill/>
                    </a:ln>
                  </pic:spPr>
                </pic:pic>
              </a:graphicData>
            </a:graphic>
          </wp:inline>
        </w:drawing>
      </w:r>
    </w:p>
    <w:p w14:paraId="795EAB7A">
      <w:pPr>
        <w:spacing w:after="0" w:line="240" w:lineRule="auto"/>
        <w:rPr>
          <w:rFonts w:ascii="Times New Roman" w:hAnsi="Times New Roman" w:eastAsia="Times New Roman" w:cs="Times New Roman"/>
          <w:color w:val="000000"/>
        </w:rPr>
      </w:pPr>
    </w:p>
    <w:p w14:paraId="3FE5570A">
      <w:pPr>
        <w:spacing w:after="0" w:line="240" w:lineRule="auto"/>
        <w:rPr>
          <w:rFonts w:ascii="Times New Roman" w:hAnsi="Times New Roman" w:eastAsia="Times New Roman" w:cs="Times New Roman"/>
          <w:color w:val="000000"/>
        </w:rPr>
      </w:pPr>
    </w:p>
    <w:p w14:paraId="5C48EDE0">
      <w:pPr>
        <w:spacing w:after="0" w:line="240" w:lineRule="auto"/>
        <w:rPr>
          <w:rFonts w:ascii="Times New Roman" w:hAnsi="Times New Roman" w:eastAsia="Times New Roman" w:cs="Times New Roman"/>
          <w:color w:val="000000"/>
        </w:rPr>
      </w:pPr>
    </w:p>
    <w:p w14:paraId="74DAA302">
      <w:pPr>
        <w:spacing w:after="0" w:line="240" w:lineRule="auto"/>
        <w:rPr>
          <w:rFonts w:ascii="Times New Roman" w:hAnsi="Times New Roman" w:eastAsia="Times New Roman" w:cs="Times New Roman"/>
          <w:color w:val="000000"/>
        </w:rPr>
      </w:pPr>
    </w:p>
    <w:p w14:paraId="02AC6E81">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2C17F832">
      <w:pPr>
        <w:spacing w:before="240" w:after="60" w:line="240" w:lineRule="auto"/>
        <w:ind w:right="-5"/>
        <w:jc w:val="center"/>
        <w:textAlignment w:val="baseline"/>
        <w:rPr>
          <w:rFonts w:ascii="Calibri" w:hAnsi="Calibri" w:eastAsia="Times New Roman" w:cs="Calibri"/>
          <w:b/>
          <w:bCs/>
          <w:i/>
          <w:iCs/>
          <w:color w:val="000000"/>
          <w:sz w:val="32"/>
          <w:szCs w:val="32"/>
          <w:lang w:val="ru-RU"/>
        </w:rPr>
      </w:pPr>
      <w:r>
        <w:rPr>
          <w:rFonts w:ascii="Times New Roman" w:hAnsi="Times New Roman" w:eastAsia="Times New Roman" w:cs="Times New Roman"/>
          <w:b/>
          <w:bCs/>
          <w:i/>
          <w:iCs/>
          <w:color w:val="000000"/>
          <w:sz w:val="32"/>
          <w:szCs w:val="32"/>
          <w:lang w:val="ru-RU"/>
        </w:rPr>
        <w:t>СИЛАБУС НАВЧАЛЬНОЇ ДИСЦИПЛІНИ</w:t>
      </w:r>
    </w:p>
    <w:p w14:paraId="2E996BE3">
      <w:pPr>
        <w:spacing w:after="0" w:line="240" w:lineRule="auto"/>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32"/>
          <w:szCs w:val="32"/>
          <w:lang w:val="ru-RU"/>
        </w:rPr>
        <w:t>«</w:t>
      </w:r>
      <w:r>
        <w:rPr>
          <w:rFonts w:ascii="Times New Roman" w:hAnsi="Times New Roman" w:eastAsia="Times New Roman" w:cs="Times New Roman"/>
          <w:b/>
          <w:i/>
          <w:iCs/>
          <w:sz w:val="32"/>
          <w:szCs w:val="32"/>
          <w:lang w:eastAsia="ru-RU"/>
        </w:rPr>
        <w:t>УПРАВЛІННЯ ІНТЕЛЕКТУАЛЬНОЮ ВЛАСНІСТЮ</w:t>
      </w:r>
      <w:r>
        <w:rPr>
          <w:rFonts w:ascii="Times New Roman" w:hAnsi="Times New Roman" w:eastAsia="Times New Roman" w:cs="Times New Roman"/>
          <w:b/>
          <w:bCs/>
          <w:color w:val="000000"/>
          <w:sz w:val="32"/>
          <w:szCs w:val="32"/>
          <w:lang w:val="ru-RU"/>
        </w:rPr>
        <w:t>»</w:t>
      </w:r>
    </w:p>
    <w:p w14:paraId="4ECCA627">
      <w:pPr>
        <w:spacing w:after="240" w:line="240" w:lineRule="auto"/>
        <w:rPr>
          <w:rFonts w:ascii="Times New Roman" w:hAnsi="Times New Roman" w:eastAsia="Times New Roman" w:cs="Times New Roman"/>
          <w:color w:val="000000"/>
          <w:lang w:val="ru-RU"/>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5"/>
        <w:gridCol w:w="6115"/>
      </w:tblGrid>
      <w:tr w14:paraId="083F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1C0EF2F9">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Спеціальність:</w:t>
            </w:r>
          </w:p>
        </w:tc>
        <w:tc>
          <w:tcPr>
            <w:tcW w:w="6115" w:type="dxa"/>
          </w:tcPr>
          <w:p w14:paraId="048BF4E8">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sz w:val="28"/>
                <w:szCs w:val="28"/>
              </w:rPr>
              <w:t>D3 Менеджмент </w:t>
            </w:r>
          </w:p>
        </w:tc>
      </w:tr>
      <w:tr w14:paraId="291A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7641485B">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Освітній рівень:</w:t>
            </w:r>
          </w:p>
        </w:tc>
        <w:tc>
          <w:tcPr>
            <w:tcW w:w="6115" w:type="dxa"/>
          </w:tcPr>
          <w:p w14:paraId="4181BC20">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b/>
                <w:bCs/>
                <w:color w:val="000000"/>
                <w:sz w:val="28"/>
                <w:szCs w:val="28"/>
                <w:lang w:val="ru-RU"/>
              </w:rPr>
              <w:t>другий</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ru-RU"/>
              </w:rPr>
              <w:t>маг</w:t>
            </w:r>
            <w:r>
              <w:rPr>
                <w:rFonts w:ascii="Times New Roman" w:hAnsi="Times New Roman" w:eastAsia="Times New Roman" w:cs="Times New Roman"/>
                <w:b/>
                <w:bCs/>
                <w:color w:val="000000"/>
                <w:sz w:val="28"/>
                <w:szCs w:val="28"/>
              </w:rPr>
              <w:t>істерський) рівень</w:t>
            </w:r>
          </w:p>
        </w:tc>
      </w:tr>
      <w:tr w14:paraId="6E55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0A3DED71">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Освітня програма:     </w:t>
            </w:r>
          </w:p>
        </w:tc>
        <w:tc>
          <w:tcPr>
            <w:tcW w:w="6115" w:type="dxa"/>
          </w:tcPr>
          <w:p w14:paraId="04CAACD8">
            <w:pPr>
              <w:spacing w:after="0" w:line="240" w:lineRule="auto"/>
              <w:ind w:right="-5"/>
              <w:jc w:val="both"/>
              <w:rPr>
                <w:rFonts w:ascii="Times New Roman" w:hAnsi="Times New Roman" w:eastAsia="Times New Roman" w:cs="Times New Roman"/>
                <w:color w:val="000000"/>
              </w:rPr>
            </w:pPr>
            <w:r>
              <w:rPr>
                <w:rFonts w:ascii="Times New Roman" w:hAnsi="Times New Roman" w:eastAsia="Times New Roman" w:cs="Times New Roman"/>
                <w:b/>
                <w:bCs/>
                <w:color w:val="000000"/>
                <w:sz w:val="28"/>
                <w:szCs w:val="28"/>
              </w:rPr>
              <w:t>Менеджмент</w:t>
            </w:r>
          </w:p>
        </w:tc>
      </w:tr>
    </w:tbl>
    <w:p w14:paraId="6444624C">
      <w:pPr>
        <w:spacing w:after="240" w:line="240" w:lineRule="auto"/>
        <w:rPr>
          <w:rFonts w:ascii="Times New Roman" w:hAnsi="Times New Roman" w:eastAsia="Times New Roman" w:cs="Times New Roman"/>
          <w:color w:val="000000"/>
          <w:lang w:val="ru-RU"/>
        </w:rPr>
      </w:pPr>
    </w:p>
    <w:p w14:paraId="2E7BF592">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lang w:val="ru-RU"/>
        </w:rPr>
        <w:tab/>
      </w:r>
    </w:p>
    <w:p w14:paraId="6488B475">
      <w:pPr>
        <w:spacing w:after="0" w:line="240" w:lineRule="auto"/>
        <w:rPr>
          <w:rFonts w:ascii="Times New Roman" w:hAnsi="Times New Roman" w:eastAsia="Times New Roman" w:cs="Times New Roman"/>
          <w:color w:val="000000"/>
          <w:lang w:val="ru-RU"/>
        </w:rPr>
      </w:pPr>
    </w:p>
    <w:p w14:paraId="6B7FE536">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p>
    <w:p w14:paraId="24893A5C">
      <w:pPr>
        <w:spacing w:after="0" w:line="240" w:lineRule="auto"/>
        <w:rPr>
          <w:rFonts w:ascii="Times New Roman" w:hAnsi="Times New Roman" w:eastAsia="Times New Roman" w:cs="Times New Roman"/>
          <w:color w:val="000000"/>
          <w:lang w:val="ru-RU"/>
        </w:rPr>
      </w:pPr>
    </w:p>
    <w:p w14:paraId="3F90AB12">
      <w:pPr>
        <w:spacing w:after="0" w:line="240" w:lineRule="auto"/>
        <w:rPr>
          <w:rFonts w:ascii="Times New Roman" w:hAnsi="Times New Roman" w:eastAsia="Times New Roman" w:cs="Times New Roman"/>
          <w:color w:val="000000"/>
        </w:rPr>
      </w:pPr>
    </w:p>
    <w:p w14:paraId="2BFFAE9A">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0ADA145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МАУП 2025</w:t>
      </w:r>
    </w:p>
    <w:p w14:paraId="6B4B8255">
      <w:pPr>
        <w:spacing w:after="0" w:line="240" w:lineRule="auto"/>
        <w:rPr>
          <w:rFonts w:ascii="Times New Roman" w:hAnsi="Times New Roman" w:eastAsia="Times New Roman" w:cs="Times New Roman"/>
        </w:rPr>
      </w:pPr>
    </w:p>
    <w:p w14:paraId="7EB102F9">
      <w:pPr>
        <w:keepNext/>
        <w:keepLines/>
        <w:widowControl w:val="0"/>
        <w:spacing w:after="0" w:line="240" w:lineRule="auto"/>
        <w:jc w:val="center"/>
        <w:outlineLvl w:val="0"/>
        <w:rPr>
          <w:rFonts w:ascii="Times New Roman" w:hAnsi="Times New Roman" w:eastAsia="Times New Roman" w:cs="Times New Roman"/>
          <w:b/>
          <w:bCs/>
          <w:color w:val="002060"/>
          <w:sz w:val="32"/>
          <w:szCs w:val="32"/>
          <w:lang w:eastAsia="uk-UA" w:bidi="uk-UA"/>
        </w:rPr>
      </w:pPr>
    </w:p>
    <w:bookmarkEnd w:id="0"/>
    <w:bookmarkEnd w:id="1"/>
    <w:p w14:paraId="4463D51B">
      <w:pPr>
        <w:suppressAutoHyphens/>
        <w:spacing w:after="0" w:line="240" w:lineRule="auto"/>
        <w:jc w:val="both"/>
        <w:rPr>
          <w:rFonts w:ascii="Times New Roman" w:hAnsi="Times New Roman" w:eastAsia="Times New Roman" w:cs="Times New Roman"/>
          <w:b/>
          <w:bCs/>
          <w:i/>
          <w:iCs/>
          <w:sz w:val="32"/>
          <w:szCs w:val="32"/>
          <w:lang w:eastAsia="ru-RU"/>
        </w:rPr>
      </w:pPr>
    </w:p>
    <w:p w14:paraId="44F33663">
      <w:pPr>
        <w:suppressAutoHyphens/>
        <w:spacing w:after="0" w:line="240" w:lineRule="auto"/>
        <w:jc w:val="both"/>
        <w:rPr>
          <w:rFonts w:ascii="Times New Roman" w:hAnsi="Times New Roman" w:eastAsia="Times New Roman" w:cs="Times New Roman"/>
          <w:b/>
          <w:bCs/>
          <w:i/>
          <w:iCs/>
          <w:sz w:val="32"/>
          <w:szCs w:val="32"/>
          <w:lang w:eastAsia="ru-RU"/>
        </w:rPr>
      </w:pPr>
    </w:p>
    <w:p w14:paraId="417A5C0A">
      <w:pPr>
        <w:suppressAutoHyphens/>
        <w:spacing w:after="0" w:line="240" w:lineRule="auto"/>
        <w:jc w:val="both"/>
        <w:rPr>
          <w:rFonts w:ascii="Times New Roman" w:hAnsi="Times New Roman" w:eastAsia="Times New Roman" w:cs="Times New Roman"/>
          <w:b/>
          <w:bCs/>
          <w:i/>
          <w:iCs/>
          <w:sz w:val="32"/>
          <w:szCs w:val="32"/>
          <w:lang w:eastAsia="ru-RU"/>
        </w:rPr>
      </w:pPr>
    </w:p>
    <w:p w14:paraId="0E29D0F0">
      <w:pPr>
        <w:suppressAutoHyphens/>
        <w:spacing w:after="0" w:line="240" w:lineRule="auto"/>
        <w:jc w:val="both"/>
        <w:rPr>
          <w:rFonts w:ascii="Times New Roman" w:hAnsi="Times New Roman" w:eastAsia="Times New Roman" w:cs="Times New Roman"/>
          <w:b/>
          <w:bCs/>
          <w:i/>
          <w:iCs/>
          <w:sz w:val="32"/>
          <w:szCs w:val="32"/>
          <w:lang w:eastAsia="ru-RU"/>
        </w:rPr>
      </w:pPr>
    </w:p>
    <w:p w14:paraId="754150D7">
      <w:pPr>
        <w:suppressAutoHyphens/>
        <w:spacing w:after="0" w:line="240" w:lineRule="auto"/>
        <w:jc w:val="both"/>
        <w:rPr>
          <w:rFonts w:ascii="Times New Roman" w:hAnsi="Times New Roman" w:eastAsia="Times New Roman" w:cs="Times New Roman"/>
          <w:b/>
          <w:bCs/>
          <w:i/>
          <w:iCs/>
          <w:sz w:val="32"/>
          <w:szCs w:val="32"/>
          <w:lang w:eastAsia="ru-RU"/>
        </w:rPr>
      </w:pPr>
    </w:p>
    <w:p w14:paraId="457F3C21">
      <w:pPr>
        <w:widowControl w:val="0"/>
        <w:spacing w:after="0" w:line="240" w:lineRule="auto"/>
        <w:rPr>
          <w:rFonts w:ascii="Courier New" w:hAnsi="Courier New" w:eastAsia="Courier New" w:cs="Courier New"/>
          <w:color w:val="000000"/>
          <w:sz w:val="24"/>
          <w:szCs w:val="24"/>
          <w:lang w:eastAsia="uk-UA" w:bidi="uk-UA"/>
        </w:rPr>
        <w:sectPr>
          <w:pgSz w:w="11900" w:h="16840"/>
          <w:pgMar w:top="1114" w:right="472" w:bottom="1538" w:left="892" w:header="686" w:footer="1110" w:gutter="0"/>
          <w:pgNumType w:start="1"/>
          <w:cols w:space="720" w:num="1"/>
          <w:docGrid w:linePitch="360" w:charSpace="0"/>
        </w:sectPr>
      </w:pPr>
    </w:p>
    <w:p w14:paraId="3D3296A1">
      <w:pPr>
        <w:widowControl w:val="0"/>
        <w:spacing w:after="0" w:line="240" w:lineRule="auto"/>
        <w:ind w:left="2170"/>
        <w:rPr>
          <w:rFonts w:ascii="Times New Roman" w:hAnsi="Times New Roman" w:eastAsia="Times New Roman" w:cs="Times New Roman"/>
          <w:b/>
          <w:bCs/>
          <w:color w:val="000000"/>
          <w:sz w:val="24"/>
          <w:szCs w:val="24"/>
          <w:lang w:eastAsia="uk-UA" w:bidi="uk-UA"/>
        </w:rPr>
      </w:pPr>
      <w:r>
        <w:rPr>
          <w:rFonts w:ascii="Times New Roman" w:hAnsi="Times New Roman" w:eastAsia="Times New Roman" w:cs="Times New Roman"/>
          <w:b/>
          <w:bCs/>
          <w:color w:val="000000"/>
          <w:sz w:val="24"/>
          <w:szCs w:val="24"/>
          <w:lang w:eastAsia="ru-RU" w:bidi="ru-RU"/>
        </w:rPr>
        <w:t xml:space="preserve">Загальна </w:t>
      </w:r>
      <w:r>
        <w:rPr>
          <w:rFonts w:ascii="Times New Roman" w:hAnsi="Times New Roman" w:eastAsia="Times New Roman" w:cs="Times New Roman"/>
          <w:b/>
          <w:bCs/>
          <w:color w:val="000000"/>
          <w:sz w:val="24"/>
          <w:szCs w:val="24"/>
          <w:lang w:eastAsia="uk-UA" w:bidi="uk-UA"/>
        </w:rPr>
        <w:t xml:space="preserve">інформація </w:t>
      </w:r>
      <w:r>
        <w:rPr>
          <w:rFonts w:ascii="Times New Roman" w:hAnsi="Times New Roman" w:eastAsia="Times New Roman" w:cs="Times New Roman"/>
          <w:b/>
          <w:bCs/>
          <w:color w:val="000000"/>
          <w:sz w:val="24"/>
          <w:szCs w:val="24"/>
          <w:lang w:eastAsia="ru-RU" w:bidi="ru-RU"/>
        </w:rPr>
        <w:t xml:space="preserve">про навчальну </w:t>
      </w:r>
      <w:r>
        <w:rPr>
          <w:rFonts w:ascii="Times New Roman" w:hAnsi="Times New Roman" w:eastAsia="Times New Roman" w:cs="Times New Roman"/>
          <w:b/>
          <w:bCs/>
          <w:color w:val="000000"/>
          <w:sz w:val="24"/>
          <w:szCs w:val="24"/>
          <w:lang w:eastAsia="uk-UA" w:bidi="uk-UA"/>
        </w:rPr>
        <w:t>дисципліну</w:t>
      </w:r>
    </w:p>
    <w:p w14:paraId="73949A0C">
      <w:pPr>
        <w:widowControl w:val="0"/>
        <w:spacing w:after="0" w:line="240" w:lineRule="auto"/>
        <w:ind w:left="2170"/>
        <w:rPr>
          <w:rFonts w:ascii="Times New Roman" w:hAnsi="Times New Roman" w:eastAsia="Times New Roman" w:cs="Times New Roman"/>
          <w:b/>
          <w:bCs/>
          <w:color w:val="000000"/>
          <w:sz w:val="24"/>
          <w:szCs w:val="24"/>
          <w:lang w:eastAsia="uk-UA" w:bidi="uk-UA"/>
        </w:rPr>
      </w:pPr>
    </w:p>
    <w:tbl>
      <w:tblPr>
        <w:tblStyle w:val="4"/>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3544"/>
        <w:gridCol w:w="6311"/>
      </w:tblGrid>
      <w:tr w14:paraId="63615EE8">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0BEF575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77F7400E">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Управління інтелектуальною власністю</w:t>
            </w:r>
          </w:p>
        </w:tc>
      </w:tr>
      <w:tr w14:paraId="38BC1D09">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2982D40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1B0C0F8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val="en-US" w:eastAsia="ru-RU"/>
              </w:rPr>
              <w:t>D3 Менеджмент</w:t>
            </w:r>
          </w:p>
        </w:tc>
      </w:tr>
      <w:tr w14:paraId="7433B1DE">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23B2B33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19913F3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другий (магістерський) рівень вищої освіти</w:t>
            </w:r>
          </w:p>
        </w:tc>
      </w:tr>
      <w:tr w14:paraId="7B7A7101">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7E3B800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4BAB08B9">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4F2237B8">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234E1E5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06EF97F3">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 кредити/120 год</w:t>
            </w:r>
          </w:p>
          <w:p w14:paraId="30A507AA">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Лекції : </w:t>
            </w:r>
            <w:r>
              <w:rPr>
                <w:rFonts w:ascii="Times New Roman" w:hAnsi="Times New Roman" w:eastAsia="Times New Roman" w:cs="Times New Roman"/>
                <w:b/>
                <w:sz w:val="24"/>
                <w:szCs w:val="24"/>
                <w:lang w:eastAsia="ru-RU"/>
              </w:rPr>
              <w:t>20</w:t>
            </w:r>
          </w:p>
          <w:p w14:paraId="4623DC0D">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Семінарські заняття</w:t>
            </w:r>
            <w:r>
              <w:rPr>
                <w:rFonts w:ascii="Times New Roman" w:hAnsi="Times New Roman" w:eastAsia="Times New Roman" w:cs="Times New Roman"/>
                <w:bCs/>
                <w:sz w:val="24"/>
                <w:szCs w:val="24"/>
                <w:lang w:eastAsia="ru-RU"/>
              </w:rPr>
              <w:t>:</w:t>
            </w:r>
            <w:r>
              <w:rPr>
                <w:rFonts w:ascii="Times New Roman" w:hAnsi="Times New Roman" w:eastAsia="Times New Roman" w:cs="Times New Roman"/>
                <w:b/>
                <w:sz w:val="24"/>
                <w:szCs w:val="24"/>
                <w:lang w:eastAsia="ru-RU"/>
              </w:rPr>
              <w:t>20</w:t>
            </w:r>
          </w:p>
          <w:p w14:paraId="68BDA9A6">
            <w:pPr>
              <w:tabs>
                <w:tab w:val="left" w:pos="8931"/>
                <w:tab w:val="left" w:pos="9356"/>
              </w:tabs>
              <w:suppressAutoHyphens/>
              <w:spacing w:after="0" w:line="240" w:lineRule="auto"/>
              <w:ind w:right="103"/>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 xml:space="preserve">Самостійна робота студентів: </w:t>
            </w:r>
            <w:r>
              <w:rPr>
                <w:rFonts w:ascii="Times New Roman" w:hAnsi="Times New Roman" w:eastAsia="Times New Roman" w:cs="Times New Roman"/>
                <w:b/>
                <w:sz w:val="24"/>
                <w:szCs w:val="24"/>
                <w:lang w:eastAsia="ru-RU"/>
              </w:rPr>
              <w:t>80</w:t>
            </w:r>
          </w:p>
        </w:tc>
      </w:tr>
      <w:tr w14:paraId="2B7281E8">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6EC075B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686FFE0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І семестр</w:t>
            </w:r>
          </w:p>
        </w:tc>
      </w:tr>
      <w:tr w14:paraId="7F91A5B8">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62EE6FC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70441976">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українська</w:t>
            </w:r>
          </w:p>
        </w:tc>
      </w:tr>
      <w:tr w14:paraId="4CDEF17C">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118F8CB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4B17031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екзамен</w:t>
            </w:r>
          </w:p>
        </w:tc>
      </w:tr>
      <w:tr w14:paraId="25512CA2">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1FE2F140">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604DD780">
            <w:pPr>
              <w:suppressAutoHyphens/>
              <w:spacing w:after="0" w:line="240" w:lineRule="auto"/>
              <w:jc w:val="center"/>
              <w:rPr>
                <w:rFonts w:ascii="Times New Roman" w:hAnsi="Times New Roman" w:eastAsia="Times New Roman" w:cs="Times New Roman"/>
                <w:sz w:val="20"/>
                <w:szCs w:val="20"/>
                <w:lang w:val="ru-RU" w:eastAsia="ru-RU"/>
              </w:rPr>
            </w:pPr>
          </w:p>
        </w:tc>
      </w:tr>
    </w:tbl>
    <w:p w14:paraId="7E545E9B">
      <w:pPr>
        <w:widowControl w:val="0"/>
        <w:spacing w:after="0" w:line="240" w:lineRule="auto"/>
        <w:ind w:left="2170"/>
        <w:rPr>
          <w:rFonts w:ascii="Times New Roman" w:hAnsi="Times New Roman" w:eastAsia="Times New Roman" w:cs="Times New Roman"/>
          <w:b/>
          <w:bCs/>
          <w:color w:val="000000"/>
          <w:sz w:val="24"/>
          <w:szCs w:val="24"/>
          <w:lang w:eastAsia="uk-UA" w:bidi="uk-UA"/>
        </w:rPr>
      </w:pPr>
    </w:p>
    <w:p w14:paraId="7386738A">
      <w:pPr>
        <w:widowControl w:val="0"/>
        <w:spacing w:after="0" w:line="240" w:lineRule="auto"/>
        <w:ind w:left="2170"/>
        <w:rPr>
          <w:rFonts w:ascii="Times New Roman" w:hAnsi="Times New Roman" w:eastAsia="Times New Roman" w:cs="Times New Roman"/>
          <w:b/>
          <w:bCs/>
          <w:color w:val="000000"/>
          <w:sz w:val="24"/>
          <w:szCs w:val="24"/>
          <w:lang w:eastAsia="uk-UA" w:bidi="uk-UA"/>
        </w:rPr>
      </w:pPr>
    </w:p>
    <w:p w14:paraId="46A70C52">
      <w:pPr>
        <w:suppressAutoHyphens/>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sz w:val="24"/>
          <w:szCs w:val="24"/>
          <w:lang w:eastAsia="ru-RU"/>
        </w:rPr>
        <w:t>Загальна інформація про викладача. Контактна інформація.</w:t>
      </w:r>
    </w:p>
    <w:tbl>
      <w:tblPr>
        <w:tblStyle w:val="4"/>
        <w:tblpPr w:leftFromText="180" w:rightFromText="180" w:vertAnchor="text" w:horzAnchor="page" w:tblpX="1480" w:tblpY="310"/>
        <w:tblOverlap w:val="never"/>
        <w:tblW w:w="5005" w:type="pct"/>
        <w:tblInd w:w="0" w:type="dxa"/>
        <w:tblLayout w:type="fixed"/>
        <w:tblCellMar>
          <w:top w:w="0" w:type="dxa"/>
          <w:left w:w="108" w:type="dxa"/>
          <w:bottom w:w="0" w:type="dxa"/>
          <w:right w:w="108" w:type="dxa"/>
        </w:tblCellMar>
      </w:tblPr>
      <w:tblGrid>
        <w:gridCol w:w="2905"/>
        <w:gridCol w:w="6960"/>
      </w:tblGrid>
      <w:tr w14:paraId="6BA6A41D">
        <w:tblPrEx>
          <w:tblCellMar>
            <w:top w:w="0" w:type="dxa"/>
            <w:left w:w="108" w:type="dxa"/>
            <w:bottom w:w="0" w:type="dxa"/>
            <w:right w:w="108" w:type="dxa"/>
          </w:tblCellMar>
        </w:tblPrEx>
        <w:trPr>
          <w:trHeight w:val="783" w:hRule="atLeast"/>
        </w:trPr>
        <w:tc>
          <w:tcPr>
            <w:tcW w:w="9639" w:type="dxa"/>
            <w:gridSpan w:val="2"/>
            <w:tcBorders>
              <w:top w:val="single" w:color="000000" w:sz="4" w:space="0"/>
              <w:left w:val="single" w:color="000000" w:sz="4" w:space="0"/>
              <w:bottom w:val="single" w:color="000000" w:sz="4" w:space="0"/>
              <w:right w:val="single" w:color="000000" w:sz="4" w:space="0"/>
            </w:tcBorders>
            <w:shd w:val="clear" w:color="auto" w:fill="auto"/>
          </w:tcPr>
          <w:p w14:paraId="5FA33B14">
            <w:pPr>
              <w:suppressAutoHyphens/>
              <w:snapToGrid w:val="0"/>
              <w:spacing w:after="0" w:line="240" w:lineRule="auto"/>
              <w:jc w:val="both"/>
              <w:rPr>
                <w:rFonts w:ascii="Times New Roman" w:hAnsi="Times New Roman" w:eastAsia="Times New Roman" w:cs="Times New Roman"/>
                <w:sz w:val="24"/>
                <w:szCs w:val="24"/>
                <w:lang w:eastAsia="ru-RU"/>
              </w:rPr>
            </w:pPr>
          </w:p>
          <w:p w14:paraId="141E5B70">
            <w:pPr>
              <w:suppressAutoHyphens/>
              <w:spacing w:after="0" w:line="240" w:lineRule="auto"/>
              <w:jc w:val="center"/>
              <w:rPr>
                <w:rFonts w:ascii="Times New Roman" w:hAnsi="Times New Roman" w:eastAsia="Times New Roman" w:cs="Times New Roman"/>
                <w:sz w:val="20"/>
                <w:szCs w:val="20"/>
                <w:lang w:val="ru-RU" w:eastAsia="ru-RU"/>
              </w:rPr>
            </w:pPr>
          </w:p>
        </w:tc>
      </w:tr>
      <w:tr w14:paraId="030BF6E4">
        <w:tblPrEx>
          <w:tblCellMar>
            <w:top w:w="0" w:type="dxa"/>
            <w:left w:w="108" w:type="dxa"/>
            <w:bottom w:w="0" w:type="dxa"/>
            <w:right w:w="108" w:type="dxa"/>
          </w:tblCellMar>
        </w:tblPrEx>
        <w:trPr>
          <w:trHeight w:val="478"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72F2D0DD">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Науковий ступінь</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68439084">
            <w:pPr>
              <w:suppressAutoHyphens/>
              <w:spacing w:after="0" w:line="240" w:lineRule="auto"/>
              <w:jc w:val="both"/>
              <w:rPr>
                <w:rFonts w:ascii="Times New Roman" w:hAnsi="Times New Roman" w:eastAsia="Times New Roman" w:cs="Times New Roman"/>
                <w:sz w:val="20"/>
                <w:szCs w:val="20"/>
                <w:lang w:val="ru-RU" w:eastAsia="ru-RU"/>
              </w:rPr>
            </w:pPr>
          </w:p>
        </w:tc>
      </w:tr>
      <w:tr w14:paraId="68E5F15B">
        <w:tblPrEx>
          <w:tblCellMar>
            <w:top w:w="0" w:type="dxa"/>
            <w:left w:w="108" w:type="dxa"/>
            <w:bottom w:w="0" w:type="dxa"/>
            <w:right w:w="108" w:type="dxa"/>
          </w:tblCellMar>
        </w:tblPrEx>
        <w:trPr>
          <w:trHeight w:val="478" w:hRule="atLeast"/>
        </w:trPr>
        <w:tc>
          <w:tcPr>
            <w:tcW w:w="2838" w:type="dxa"/>
            <w:tcBorders>
              <w:left w:val="single" w:color="000000" w:sz="4" w:space="0"/>
              <w:bottom w:val="single" w:color="000000" w:sz="4" w:space="0"/>
              <w:right w:val="single" w:color="000000" w:sz="4" w:space="0"/>
            </w:tcBorders>
            <w:shd w:val="clear" w:color="auto" w:fill="auto"/>
          </w:tcPr>
          <w:p w14:paraId="7D0B419F">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Вчене звання</w:t>
            </w:r>
          </w:p>
        </w:tc>
        <w:tc>
          <w:tcPr>
            <w:tcW w:w="6801" w:type="dxa"/>
            <w:tcBorders>
              <w:left w:val="single" w:color="000000" w:sz="4" w:space="0"/>
              <w:bottom w:val="single" w:color="000000" w:sz="4" w:space="0"/>
              <w:right w:val="single" w:color="000000" w:sz="4" w:space="0"/>
            </w:tcBorders>
            <w:shd w:val="clear" w:color="auto" w:fill="auto"/>
          </w:tcPr>
          <w:p w14:paraId="33E164D4">
            <w:pPr>
              <w:suppressAutoHyphens/>
              <w:snapToGrid w:val="0"/>
              <w:spacing w:after="0" w:line="240" w:lineRule="auto"/>
              <w:jc w:val="both"/>
              <w:rPr>
                <w:rFonts w:ascii="Times New Roman" w:hAnsi="Times New Roman" w:eastAsia="Times New Roman" w:cs="Times New Roman"/>
                <w:sz w:val="24"/>
                <w:szCs w:val="24"/>
                <w:lang w:eastAsia="ru-RU"/>
              </w:rPr>
            </w:pPr>
          </w:p>
        </w:tc>
      </w:tr>
      <w:tr w14:paraId="34F0CDD3">
        <w:tblPrEx>
          <w:tblCellMar>
            <w:top w:w="0" w:type="dxa"/>
            <w:left w:w="108" w:type="dxa"/>
            <w:bottom w:w="0" w:type="dxa"/>
            <w:right w:w="108" w:type="dxa"/>
          </w:tblCellMar>
        </w:tblPrEx>
        <w:trPr>
          <w:trHeight w:val="665"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58690FD1">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Посада</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5190A402">
            <w:pPr>
              <w:suppressAutoHyphens/>
              <w:spacing w:after="0" w:line="240" w:lineRule="auto"/>
              <w:jc w:val="both"/>
              <w:rPr>
                <w:rFonts w:ascii="Times New Roman" w:hAnsi="Times New Roman" w:eastAsia="Times New Roman" w:cs="Times New Roman"/>
                <w:sz w:val="20"/>
                <w:szCs w:val="20"/>
                <w:lang w:val="ru-RU" w:eastAsia="ru-RU"/>
              </w:rPr>
            </w:pPr>
          </w:p>
        </w:tc>
      </w:tr>
      <w:tr w14:paraId="51C1AC8B">
        <w:tblPrEx>
          <w:tblCellMar>
            <w:top w:w="0" w:type="dxa"/>
            <w:left w:w="108" w:type="dxa"/>
            <w:bottom w:w="0" w:type="dxa"/>
            <w:right w:w="108" w:type="dxa"/>
          </w:tblCellMar>
        </w:tblPrEx>
        <w:trPr>
          <w:trHeight w:val="655"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1514DD1D">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Дисципліни, які викладає НПП</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5C73639F">
            <w:pPr>
              <w:suppressAutoHyphens/>
              <w:spacing w:after="0" w:line="240" w:lineRule="auto"/>
              <w:jc w:val="both"/>
              <w:rPr>
                <w:rFonts w:ascii="Times New Roman" w:hAnsi="Times New Roman" w:eastAsia="Times New Roman" w:cs="Times New Roman"/>
                <w:sz w:val="20"/>
                <w:szCs w:val="20"/>
                <w:lang w:val="ru-RU" w:eastAsia="ru-RU"/>
              </w:rPr>
            </w:pPr>
          </w:p>
        </w:tc>
      </w:tr>
      <w:tr w14:paraId="7814F819">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0E052BE9">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Напрями наукових досліджень</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77725432">
            <w:pPr>
              <w:suppressAutoHyphens/>
              <w:spacing w:after="0" w:line="240" w:lineRule="auto"/>
              <w:jc w:val="both"/>
              <w:rPr>
                <w:rFonts w:ascii="Times New Roman" w:hAnsi="Times New Roman" w:eastAsia="Times New Roman" w:cs="Times New Roman"/>
                <w:sz w:val="20"/>
                <w:szCs w:val="20"/>
                <w:lang w:val="ru-RU" w:eastAsia="ru-RU"/>
              </w:rPr>
            </w:pPr>
          </w:p>
        </w:tc>
      </w:tr>
      <w:tr w14:paraId="42445EC9">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577ED3B0">
            <w:pPr>
              <w:suppressAutoHyphens/>
              <w:snapToGrid w:val="0"/>
              <w:spacing w:after="0" w:line="240" w:lineRule="auto"/>
              <w:jc w:val="both"/>
              <w:rPr>
                <w:rFonts w:ascii="Times New Roman" w:hAnsi="Times New Roman" w:eastAsia="Times New Roman" w:cs="Times New Roman"/>
                <w:b/>
                <w:sz w:val="24"/>
                <w:szCs w:val="24"/>
                <w:highlight w:val="yellow"/>
                <w:lang w:eastAsia="ru-RU"/>
              </w:rPr>
            </w:pPr>
          </w:p>
          <w:p w14:paraId="378BE37A">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Посилання на реєстри ідентифікаторів для науковців</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50FAD82F">
            <w:pPr>
              <w:suppressAutoHyphens/>
              <w:spacing w:after="0" w:line="240" w:lineRule="auto"/>
              <w:rPr>
                <w:rFonts w:ascii="Times New Roman" w:hAnsi="Times New Roman" w:eastAsia="Times New Roman" w:cs="Times New Roman"/>
                <w:sz w:val="20"/>
                <w:szCs w:val="20"/>
                <w:lang w:val="en-US" w:eastAsia="ru-RU"/>
              </w:rPr>
            </w:pPr>
          </w:p>
        </w:tc>
      </w:tr>
      <w:tr w14:paraId="7F9099DD">
        <w:tblPrEx>
          <w:tblCellMar>
            <w:top w:w="0" w:type="dxa"/>
            <w:left w:w="108" w:type="dxa"/>
            <w:bottom w:w="0" w:type="dxa"/>
            <w:right w:w="108" w:type="dxa"/>
          </w:tblCellMar>
        </w:tblPrEx>
        <w:tc>
          <w:tcPr>
            <w:tcW w:w="9639" w:type="dxa"/>
            <w:gridSpan w:val="2"/>
            <w:tcBorders>
              <w:top w:val="single" w:color="000000" w:sz="4" w:space="0"/>
              <w:left w:val="single" w:color="000000" w:sz="4" w:space="0"/>
              <w:bottom w:val="single" w:color="000000" w:sz="4" w:space="0"/>
              <w:right w:val="single" w:color="000000" w:sz="4" w:space="0"/>
            </w:tcBorders>
            <w:shd w:val="clear" w:color="auto" w:fill="auto"/>
          </w:tcPr>
          <w:p w14:paraId="53F52B7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Контактна інформація викладача:</w:t>
            </w:r>
          </w:p>
        </w:tc>
      </w:tr>
      <w:tr w14:paraId="0DED3A2C">
        <w:tblPrEx>
          <w:tblCellMar>
            <w:top w:w="0" w:type="dxa"/>
            <w:left w:w="108" w:type="dxa"/>
            <w:bottom w:w="0" w:type="dxa"/>
            <w:right w:w="108" w:type="dxa"/>
          </w:tblCellMar>
        </w:tblPrEx>
        <w:trPr>
          <w:trHeight w:val="376"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696BB13D">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E-mail:</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637B5809">
            <w:pPr>
              <w:suppressAutoHyphens/>
              <w:spacing w:after="0" w:line="240" w:lineRule="auto"/>
              <w:jc w:val="both"/>
              <w:rPr>
                <w:rFonts w:ascii="Times New Roman" w:hAnsi="Times New Roman" w:eastAsia="Times New Roman" w:cs="Times New Roman"/>
                <w:sz w:val="20"/>
                <w:szCs w:val="20"/>
                <w:lang w:eastAsia="ru-RU"/>
              </w:rPr>
            </w:pPr>
          </w:p>
        </w:tc>
      </w:tr>
      <w:tr w14:paraId="547BEBE7">
        <w:tblPrEx>
          <w:tblCellMar>
            <w:top w:w="0" w:type="dxa"/>
            <w:left w:w="108" w:type="dxa"/>
            <w:bottom w:w="0" w:type="dxa"/>
            <w:right w:w="108" w:type="dxa"/>
          </w:tblCellMar>
        </w:tblPrEx>
        <w:trPr>
          <w:trHeight w:val="320"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60DD68D9">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Контактний тел.</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290C35E2">
            <w:pPr>
              <w:suppressAutoHyphens/>
              <w:spacing w:after="0" w:line="240" w:lineRule="auto"/>
              <w:jc w:val="both"/>
              <w:rPr>
                <w:rFonts w:ascii="Times New Roman" w:hAnsi="Times New Roman" w:eastAsia="Times New Roman" w:cs="Times New Roman"/>
                <w:sz w:val="20"/>
                <w:szCs w:val="20"/>
                <w:lang w:val="ru-RU" w:eastAsia="ru-RU"/>
              </w:rPr>
            </w:pPr>
          </w:p>
        </w:tc>
      </w:tr>
      <w:tr w14:paraId="13D9DD07">
        <w:tblPrEx>
          <w:tblCellMar>
            <w:top w:w="0" w:type="dxa"/>
            <w:left w:w="108" w:type="dxa"/>
            <w:bottom w:w="0" w:type="dxa"/>
            <w:right w:w="108" w:type="dxa"/>
          </w:tblCellMar>
        </w:tblPrEx>
        <w:trPr>
          <w:trHeight w:val="323"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3115DDBA">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Телефон кафедри</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2EE7F61F">
            <w:pPr>
              <w:suppressAutoHyphens/>
              <w:snapToGrid w:val="0"/>
              <w:spacing w:after="0" w:line="240" w:lineRule="auto"/>
              <w:jc w:val="both"/>
              <w:rPr>
                <w:rFonts w:ascii="Times New Roman" w:hAnsi="Times New Roman" w:eastAsia="Times New Roman" w:cs="Times New Roman"/>
                <w:b/>
                <w:sz w:val="24"/>
                <w:szCs w:val="24"/>
                <w:lang w:eastAsia="ru-RU"/>
              </w:rPr>
            </w:pPr>
          </w:p>
        </w:tc>
      </w:tr>
      <w:tr w14:paraId="5F4C8CE7">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2801204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Портфоліо викладача на сайті кафедри/Інституту/Академії</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4E3EEE66">
            <w:pPr>
              <w:suppressAutoHyphens/>
              <w:spacing w:after="0" w:line="240" w:lineRule="auto"/>
              <w:jc w:val="both"/>
              <w:rPr>
                <w:rFonts w:ascii="Times New Roman" w:hAnsi="Times New Roman" w:eastAsia="Times New Roman" w:cs="Times New Roman"/>
                <w:sz w:val="20"/>
                <w:szCs w:val="20"/>
                <w:lang w:val="ru-RU" w:eastAsia="ru-RU"/>
              </w:rPr>
            </w:pPr>
          </w:p>
        </w:tc>
      </w:tr>
    </w:tbl>
    <w:p w14:paraId="468B2110"/>
    <w:p w14:paraId="6BC92E2B"/>
    <w:p w14:paraId="490E1387"/>
    <w:p w14:paraId="171ADE57"/>
    <w:p w14:paraId="22300D6C">
      <w:pPr>
        <w:widowControl w:val="0"/>
        <w:spacing w:after="0" w:line="240" w:lineRule="auto"/>
        <w:ind w:firstLine="709"/>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bCs/>
          <w:color w:val="000000"/>
          <w:sz w:val="24"/>
          <w:szCs w:val="24"/>
          <w:lang w:eastAsia="uk-UA" w:bidi="uk-UA"/>
        </w:rPr>
        <w:t xml:space="preserve">Анотація курсу. </w:t>
      </w:r>
      <w:r>
        <w:rPr>
          <w:rFonts w:ascii="Times New Roman" w:hAnsi="Times New Roman" w:eastAsia="Times New Roman" w:cs="Times New Roman"/>
          <w:color w:val="000000"/>
          <w:sz w:val="24"/>
          <w:szCs w:val="24"/>
          <w:lang w:eastAsia="uk-UA" w:bidi="uk-UA"/>
        </w:rPr>
        <w:t>Дисципліна розкриває роль інтелектуальної власності як ключового ресурсу в умовах переходу до економіки знань. Актуальність курсу зумовлена зростанням інтелектуалізації підприємницької діяльності, появою інтелектуального підприємництва та необхідністю адаптації системи підготовки кадрів до нових викликів. Особлива увага приділяється управлінню нематеріальними активами, правовому захисту, комерціалізації і стратегічному використанню інтелектуального потенціалу підприємств.</w:t>
      </w:r>
    </w:p>
    <w:p w14:paraId="3A511E63">
      <w:pPr>
        <w:widowControl w:val="0"/>
        <w:spacing w:after="0" w:line="240" w:lineRule="auto"/>
        <w:ind w:firstLine="709"/>
        <w:jc w:val="both"/>
        <w:rPr>
          <w:rFonts w:ascii="Times New Roman" w:hAnsi="Times New Roman" w:eastAsia="Times New Roman" w:cs="Times New Roman"/>
          <w:bCs/>
          <w:color w:val="000000"/>
          <w:sz w:val="24"/>
          <w:szCs w:val="24"/>
          <w:lang w:eastAsia="ru-RU" w:bidi="ru-RU"/>
        </w:rPr>
      </w:pPr>
      <w:r>
        <w:rPr>
          <w:rFonts w:ascii="Times New Roman" w:hAnsi="Times New Roman" w:eastAsia="Times New Roman" w:cs="Times New Roman"/>
          <w:b/>
          <w:bCs/>
          <w:color w:val="000000"/>
          <w:sz w:val="24"/>
          <w:szCs w:val="24"/>
          <w:lang w:eastAsia="ru-RU" w:bidi="ru-RU"/>
        </w:rPr>
        <w:t xml:space="preserve">Предметом вивчення навчальної дисципліни є </w:t>
      </w:r>
      <w:r>
        <w:rPr>
          <w:rFonts w:ascii="Times New Roman" w:hAnsi="Times New Roman" w:eastAsia="Times New Roman" w:cs="Times New Roman"/>
          <w:bCs/>
          <w:color w:val="000000"/>
          <w:sz w:val="24"/>
          <w:szCs w:val="24"/>
          <w:lang w:eastAsia="ru-RU" w:bidi="ru-RU"/>
        </w:rPr>
        <w:t>система знань про закономірності, принципи та механізми управління об’єктами інтелектуальної власності в умовах сучасного соціально-економічного середовища. Актуальні питання правового, економічного та організаційного регулювання інтелектуальної власності, що мають стратегічне значення для розвитку інноваційної економіки, підприємництва та науково-технічного прогресу. Особлива увага приділяється функціональному призначенню системи управління інтелектуальною власністю як нормативної та інституційної основи формування конкурентоспроможного національного інтелектуального потенціалу.</w:t>
      </w:r>
    </w:p>
    <w:p w14:paraId="0F40DFCF">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b/>
          <w:bCs/>
          <w:color w:val="000000"/>
          <w:sz w:val="24"/>
          <w:szCs w:val="24"/>
          <w:lang w:eastAsia="ru-RU" w:bidi="ru-RU"/>
        </w:rPr>
        <w:t xml:space="preserve">Метою курсу: </w:t>
      </w:r>
      <w:r>
        <w:rPr>
          <w:rFonts w:ascii="Times New Roman" w:hAnsi="Times New Roman" w:eastAsia="Times New Roman" w:cs="Times New Roman"/>
          <w:bCs/>
          <w:color w:val="000000"/>
          <w:sz w:val="24"/>
          <w:szCs w:val="24"/>
          <w:lang w:eastAsia="ru-RU" w:bidi="ru-RU"/>
        </w:rPr>
        <w:t>є</w:t>
      </w:r>
      <w:r>
        <w:rPr>
          <w:rFonts w:ascii="Times New Roman" w:hAnsi="Times New Roman" w:eastAsia="Times New Roman" w:cs="Times New Roman"/>
          <w:b/>
          <w:bCs/>
          <w:color w:val="000000"/>
          <w:sz w:val="24"/>
          <w:szCs w:val="24"/>
          <w:lang w:eastAsia="ru-RU" w:bidi="ru-RU"/>
        </w:rPr>
        <w:t xml:space="preserve"> </w:t>
      </w:r>
      <w:r>
        <w:rPr>
          <w:rFonts w:ascii="Times New Roman" w:hAnsi="Times New Roman" w:eastAsia="Times New Roman" w:cs="Times New Roman"/>
          <w:color w:val="000000"/>
          <w:sz w:val="24"/>
          <w:szCs w:val="24"/>
          <w:lang w:eastAsia="ru-RU" w:bidi="ru-RU"/>
        </w:rPr>
        <w:t>формування у здобувачів освіти ґрунтовних теоретичних знань і практичних навичок у сфері управління інтелектуальною власністю, а також розвиток здатності застосовувати сучасні управлінські підходи для ефективної організації процесів охорони, комерціалізації та захисту прав інтелектуальної власності.</w:t>
      </w:r>
    </w:p>
    <w:p w14:paraId="6FB7334D">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Курс спрямований на підвищення професійної компетентності здобувачів у питаннях стратегічного використання інтелектуальних активів, мотивації творчої діяльності, формування інноваційної культури та реалізації стратегій організаційного розвитку на основі інтелектуального капіталу.</w:t>
      </w:r>
    </w:p>
    <w:p w14:paraId="417E5D86">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b/>
          <w:color w:val="000000"/>
          <w:sz w:val="24"/>
          <w:szCs w:val="24"/>
          <w:lang w:eastAsia="ru-RU" w:bidi="ru-RU"/>
        </w:rPr>
        <w:t xml:space="preserve">Завдання навчальної дисципліни </w:t>
      </w:r>
      <w:r>
        <w:rPr>
          <w:rFonts w:ascii="Times New Roman" w:hAnsi="Times New Roman" w:eastAsia="Times New Roman" w:cs="Times New Roman"/>
          <w:color w:val="000000"/>
          <w:sz w:val="24"/>
          <w:szCs w:val="24"/>
          <w:lang w:eastAsia="ru-RU" w:bidi="ru-RU"/>
        </w:rPr>
        <w:t>є забезпечити розуміння сутності, принципів, видів та моделей управління інтелектуальною власністю в контексті сучасної організаційної діяльності. Навчити студентів ідентифікувати об’єкти інтелектуальної власності, аналізувати їх правовий статус, комерційну цінність та стратегічне значення для організації. Ознайомити з методами правового захисту, ліцензування, трансферу технологій та комерціалізації інтелектуальних активів. Показати інтеграцію управління інтелектуальною власністю у системи стратегічного планування, інноваційного розвитку, оцінювання ризиків та корпоративного управління. Сприяти усвідомленню етичних норм у сфері інтелектуальної власності, розвитку навичок відповідального використання чужих і захисту власних творчих результатів. Ознайомити з методами оцінювання ефективності управління інтелектуальною власністю на індивідуальному, командному та організаційному рівнях.</w:t>
      </w:r>
    </w:p>
    <w:p w14:paraId="5960C233">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b/>
          <w:color w:val="000000"/>
          <w:sz w:val="24"/>
          <w:szCs w:val="24"/>
          <w:lang w:eastAsia="ru-RU" w:bidi="ru-RU"/>
        </w:rPr>
        <w:t>Пререквізити навчальної дисципліни.</w:t>
      </w:r>
      <w:r>
        <w:rPr>
          <w:rFonts w:ascii="Times New Roman" w:hAnsi="Times New Roman" w:eastAsia="Times New Roman" w:cs="Times New Roman"/>
          <w:color w:val="000000"/>
          <w:sz w:val="24"/>
          <w:szCs w:val="24"/>
          <w:lang w:eastAsia="ru-RU" w:bidi="ru-RU"/>
        </w:rPr>
        <w:t xml:space="preserve"> Вивчення  навчальної дисципліни «Управління інтелектуальною власністю» базується на знаннях та уміннях, отриманих здобувачами освіти при вивченні  таких дисциплін: “</w:t>
      </w:r>
      <w:r>
        <w:t xml:space="preserve"> </w:t>
      </w:r>
      <w:r>
        <w:rPr>
          <w:rFonts w:ascii="Times New Roman" w:hAnsi="Times New Roman" w:eastAsia="Times New Roman" w:cs="Times New Roman"/>
          <w:color w:val="000000"/>
          <w:sz w:val="24"/>
          <w:szCs w:val="24"/>
          <w:lang w:eastAsia="ru-RU" w:bidi="ru-RU"/>
        </w:rPr>
        <w:t>Бізнес –планування та створення стартапів”,“</w:t>
      </w:r>
      <w:r>
        <w:t xml:space="preserve"> </w:t>
      </w:r>
      <w:r>
        <w:rPr>
          <w:rFonts w:ascii="Times New Roman" w:hAnsi="Times New Roman" w:eastAsia="Times New Roman" w:cs="Times New Roman"/>
          <w:color w:val="000000"/>
          <w:sz w:val="24"/>
          <w:szCs w:val="24"/>
          <w:lang w:eastAsia="ru-RU" w:bidi="ru-RU"/>
        </w:rPr>
        <w:t>Основи управління бізнесом”, “</w:t>
      </w:r>
      <w:r>
        <w:t xml:space="preserve"> </w:t>
      </w:r>
      <w:r>
        <w:rPr>
          <w:rFonts w:ascii="Times New Roman" w:hAnsi="Times New Roman" w:eastAsia="Times New Roman" w:cs="Times New Roman"/>
          <w:color w:val="000000"/>
          <w:sz w:val="24"/>
          <w:szCs w:val="24"/>
          <w:lang w:eastAsia="ru-RU" w:bidi="ru-RU"/>
        </w:rPr>
        <w:t>Основи підприємницької діяльності ”.</w:t>
      </w:r>
    </w:p>
    <w:p w14:paraId="0991C94E">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Навчальна дисципліна забезпечує формування студентами загальних і спеціальних компетентностей та набуття результатів навчання, визначених освітньо-професійною програмою «Управління інтелектуальною власністю» а саме:</w:t>
      </w:r>
    </w:p>
    <w:p w14:paraId="7CD07B48">
      <w:pPr>
        <w:spacing w:after="0"/>
        <w:jc w:val="both"/>
        <w:rPr>
          <w:rFonts w:ascii="Times New Roman" w:hAnsi="Times New Roman" w:cs="Times New Roman"/>
          <w:b/>
          <w:bCs/>
          <w:sz w:val="24"/>
          <w:szCs w:val="24"/>
        </w:rPr>
      </w:pPr>
    </w:p>
    <w:p w14:paraId="56256350">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Програмні компетентності</w:t>
      </w:r>
    </w:p>
    <w:tbl>
      <w:tblPr>
        <w:tblStyle w:val="4"/>
        <w:tblpPr w:leftFromText="180" w:rightFromText="180" w:vertAnchor="text" w:tblpX="30" w:tblpY="50"/>
        <w:tblOverlap w:val="never"/>
        <w:tblW w:w="4935" w:type="pct"/>
        <w:tblInd w:w="0" w:type="dxa"/>
        <w:tblLayout w:type="fixed"/>
        <w:tblCellMar>
          <w:top w:w="0" w:type="dxa"/>
          <w:left w:w="108" w:type="dxa"/>
          <w:bottom w:w="0" w:type="dxa"/>
          <w:right w:w="108" w:type="dxa"/>
        </w:tblCellMar>
      </w:tblPr>
      <w:tblGrid>
        <w:gridCol w:w="2176"/>
        <w:gridCol w:w="7551"/>
      </w:tblGrid>
      <w:tr w14:paraId="778BBE21">
        <w:tblPrEx>
          <w:tblCellMar>
            <w:top w:w="0" w:type="dxa"/>
            <w:left w:w="108" w:type="dxa"/>
            <w:bottom w:w="0" w:type="dxa"/>
            <w:right w:w="108"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0FDF423">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Загальні компетентності</w:t>
            </w: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128E48CE">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ЗК6. Здатність генерувати нові ідеї (креативність).</w:t>
            </w:r>
          </w:p>
        </w:tc>
      </w:tr>
      <w:tr w14:paraId="1E4A2D99">
        <w:tblPrEx>
          <w:tblCellMar>
            <w:top w:w="0" w:type="dxa"/>
            <w:left w:w="108" w:type="dxa"/>
            <w:bottom w:w="0" w:type="dxa"/>
            <w:right w:w="108"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709FA23">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Спеціальні компетентності</w:t>
            </w:r>
          </w:p>
          <w:p w14:paraId="23AEEBB9">
            <w:pPr>
              <w:suppressAutoHyphens/>
              <w:spacing w:after="0" w:line="240" w:lineRule="auto"/>
              <w:jc w:val="both"/>
              <w:rPr>
                <w:rFonts w:ascii="Times New Roman" w:hAnsi="Times New Roman" w:eastAsia="Times New Roman" w:cs="Times New Roman"/>
                <w:b/>
                <w:sz w:val="24"/>
                <w:szCs w:val="24"/>
                <w:highlight w:val="yellow"/>
                <w:lang w:eastAsia="ru-RU"/>
              </w:rPr>
            </w:pPr>
          </w:p>
          <w:p w14:paraId="0895D581">
            <w:pPr>
              <w:suppressAutoHyphens/>
              <w:spacing w:after="0" w:line="240" w:lineRule="auto"/>
              <w:jc w:val="both"/>
              <w:rPr>
                <w:rFonts w:ascii="Times New Roman" w:hAnsi="Times New Roman" w:eastAsia="Times New Roman" w:cs="Times New Roman"/>
                <w:b/>
                <w:sz w:val="24"/>
                <w:szCs w:val="24"/>
                <w:highlight w:val="yellow"/>
                <w:lang w:eastAsia="ru-RU"/>
              </w:rPr>
            </w:pP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6FAF223A">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СК4. Здатність до ефективного використання та розвитку ресурсів організації та підприємства.</w:t>
            </w:r>
          </w:p>
          <w:p w14:paraId="2AD2DD49">
            <w:pPr>
              <w:pStyle w:val="21"/>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СК5. Здатність створювати та організовувати ефективні комунікації в процесі управління. </w:t>
            </w:r>
          </w:p>
          <w:p w14:paraId="03815DB3">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СК11. Здатність створювати та управляти стартапами, залучати інвестиційний капітал для реалізації інноваційних проєктів.</w:t>
            </w:r>
          </w:p>
          <w:p w14:paraId="54ECDF95">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4"/>
                <w:szCs w:val="24"/>
                <w:lang w:eastAsia="ru-RU"/>
              </w:rPr>
              <w:t>СК12. Здатність розробляти та застосовувати методи і технології стратегічного управління організацією та комерціалізації інновацій в умовах невизначеності та ризику.</w:t>
            </w:r>
          </w:p>
        </w:tc>
      </w:tr>
      <w:tr w14:paraId="22F6BC35">
        <w:tblPrEx>
          <w:tblCellMar>
            <w:top w:w="0" w:type="dxa"/>
            <w:left w:w="108" w:type="dxa"/>
            <w:bottom w:w="0" w:type="dxa"/>
            <w:right w:w="108"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EC41196">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Результати навчання</w:t>
            </w:r>
          </w:p>
          <w:p w14:paraId="4BDFD752">
            <w:pPr>
              <w:suppressAutoHyphens/>
              <w:spacing w:after="0" w:line="240" w:lineRule="auto"/>
              <w:jc w:val="both"/>
              <w:rPr>
                <w:rFonts w:ascii="Times New Roman" w:hAnsi="Times New Roman" w:eastAsia="Times New Roman" w:cs="Times New Roman"/>
                <w:sz w:val="24"/>
                <w:szCs w:val="24"/>
                <w:lang w:eastAsia="ru-RU"/>
              </w:rPr>
            </w:pP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50A194B4">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РН6.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p w14:paraId="61D2ACA8">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РН14. Ініціювати та впроваджувати зміни в систему управління та бізнес-модель організації відповідно до цифрових змін середовища та дотриманням прав інтелектуальної власності.</w:t>
            </w:r>
          </w:p>
          <w:p w14:paraId="3D37DBC4">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4"/>
                <w:szCs w:val="24"/>
                <w:lang w:eastAsia="ru-RU"/>
              </w:rPr>
              <w:t>РН15. Демонструвати здатність досягати успіху в отриманні прибутку від ідей та інтелектуальних знань шляхом інновацій, використання потенціалу інноваційної економіки із урахуванням потенційних загроз та ризиків.</w:t>
            </w:r>
          </w:p>
        </w:tc>
      </w:tr>
    </w:tbl>
    <w:p w14:paraId="120F25F9">
      <w:pPr>
        <w:widowControl w:val="0"/>
        <w:spacing w:after="0" w:line="240" w:lineRule="auto"/>
        <w:ind w:firstLine="709"/>
        <w:jc w:val="both"/>
        <w:rPr>
          <w:rFonts w:ascii="Times New Roman" w:hAnsi="Times New Roman" w:eastAsia="Times New Roman" w:cs="Times New Roman"/>
          <w:color w:val="000000"/>
          <w:sz w:val="24"/>
          <w:szCs w:val="24"/>
          <w:lang w:eastAsia="ru-RU" w:bidi="ru-RU"/>
        </w:rPr>
      </w:pPr>
    </w:p>
    <w:p w14:paraId="4CD7D341">
      <w:pPr>
        <w:pStyle w:val="19"/>
        <w:ind w:left="0" w:firstLine="709"/>
        <w:jc w:val="both"/>
        <w:rPr>
          <w:rFonts w:ascii="Times New Roman" w:hAnsi="Times New Roman" w:cs="Times New Roman"/>
          <w:b/>
          <w:sz w:val="24"/>
          <w:szCs w:val="24"/>
        </w:rPr>
      </w:pPr>
    </w:p>
    <w:p w14:paraId="0CDEB6BF">
      <w:pPr>
        <w:pStyle w:val="19"/>
        <w:ind w:left="0" w:firstLine="709"/>
        <w:jc w:val="both"/>
        <w:rPr>
          <w:rFonts w:ascii="Times New Roman" w:hAnsi="Times New Roman" w:cs="Times New Roman"/>
          <w:b/>
          <w:sz w:val="24"/>
          <w:szCs w:val="24"/>
        </w:rPr>
      </w:pPr>
      <w:r>
        <w:rPr>
          <w:rFonts w:ascii="Times New Roman" w:hAnsi="Times New Roman" w:cs="Times New Roman"/>
          <w:b/>
          <w:sz w:val="24"/>
          <w:szCs w:val="24"/>
        </w:rPr>
        <w:t>Зміст навчальної дисципліни</w:t>
      </w:r>
    </w:p>
    <w:tbl>
      <w:tblPr>
        <w:tblStyle w:val="4"/>
        <w:tblpPr w:leftFromText="180" w:rightFromText="180" w:vertAnchor="text" w:tblpX="-100" w:tblpY="197"/>
        <w:tblOverlap w:val="never"/>
        <w:tblW w:w="5000" w:type="pct"/>
        <w:tblInd w:w="0" w:type="dxa"/>
        <w:tblLayout w:type="fixed"/>
        <w:tblCellMar>
          <w:top w:w="0" w:type="dxa"/>
          <w:left w:w="108" w:type="dxa"/>
          <w:bottom w:w="0" w:type="dxa"/>
          <w:right w:w="108" w:type="dxa"/>
        </w:tblCellMar>
      </w:tblPr>
      <w:tblGrid>
        <w:gridCol w:w="1155"/>
        <w:gridCol w:w="3918"/>
        <w:gridCol w:w="580"/>
        <w:gridCol w:w="725"/>
        <w:gridCol w:w="869"/>
        <w:gridCol w:w="2608"/>
      </w:tblGrid>
      <w:tr w14:paraId="650CF6F4">
        <w:tblPrEx>
          <w:tblCellMar>
            <w:top w:w="0" w:type="dxa"/>
            <w:left w:w="108" w:type="dxa"/>
            <w:bottom w:w="0" w:type="dxa"/>
            <w:right w:w="108" w:type="dxa"/>
          </w:tblCellMar>
        </w:tblPrEx>
        <w:trPr>
          <w:trHeight w:val="303" w:hRule="atLeast"/>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9DC3A46">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w:t>
            </w:r>
          </w:p>
        </w:tc>
        <w:tc>
          <w:tcPr>
            <w:tcW w:w="382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0B466CD">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Назва теми</w:t>
            </w:r>
          </w:p>
        </w:tc>
        <w:tc>
          <w:tcPr>
            <w:tcW w:w="4672" w:type="dxa"/>
            <w:gridSpan w:val="4"/>
            <w:tcBorders>
              <w:top w:val="single" w:color="000000" w:sz="4" w:space="0"/>
              <w:left w:val="single" w:color="000000" w:sz="4" w:space="0"/>
              <w:bottom w:val="single" w:color="000000" w:sz="4" w:space="0"/>
              <w:right w:val="single" w:color="000000" w:sz="4" w:space="0"/>
            </w:tcBorders>
            <w:shd w:val="clear" w:color="auto" w:fill="auto"/>
          </w:tcPr>
          <w:p w14:paraId="43D8890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К-сть годин, з них:</w:t>
            </w:r>
          </w:p>
        </w:tc>
      </w:tr>
      <w:tr w14:paraId="4D7EB3E3">
        <w:tblPrEx>
          <w:tblCellMar>
            <w:top w:w="0" w:type="dxa"/>
            <w:left w:w="108" w:type="dxa"/>
            <w:bottom w:w="0" w:type="dxa"/>
            <w:right w:w="108" w:type="dxa"/>
          </w:tblCellMar>
        </w:tblPrEx>
        <w:trPr>
          <w:trHeight w:val="1281"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D6AD7B1">
            <w:pPr>
              <w:suppressAutoHyphens/>
              <w:snapToGrid w:val="0"/>
              <w:spacing w:after="0" w:line="240" w:lineRule="auto"/>
              <w:jc w:val="both"/>
              <w:rPr>
                <w:rFonts w:ascii="Times New Roman" w:hAnsi="Times New Roman" w:eastAsia="Times New Roman" w:cs="Times New Roman"/>
                <w:b/>
                <w:sz w:val="24"/>
                <w:szCs w:val="24"/>
                <w:lang w:eastAsia="ru-RU"/>
              </w:rPr>
            </w:pP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6E16E1A">
            <w:pPr>
              <w:suppressAutoHyphens/>
              <w:snapToGrid w:val="0"/>
              <w:spacing w:after="0" w:line="240" w:lineRule="auto"/>
              <w:jc w:val="both"/>
              <w:rPr>
                <w:rFonts w:ascii="Times New Roman" w:hAnsi="Times New Roman" w:eastAsia="Times New Roman" w:cs="Times New Roman"/>
                <w:b/>
                <w:bCs/>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extDirection w:val="btLr"/>
          </w:tcPr>
          <w:p w14:paraId="5149BC40">
            <w:pPr>
              <w:keepNext/>
              <w:tabs>
                <w:tab w:val="center" w:pos="4153"/>
                <w:tab w:val="center" w:pos="4677"/>
                <w:tab w:val="right" w:pos="8306"/>
                <w:tab w:val="right" w:pos="9355"/>
              </w:tab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Лекції</w:t>
            </w:r>
          </w:p>
        </w:tc>
        <w:tc>
          <w:tcPr>
            <w:tcW w:w="708" w:type="dxa"/>
            <w:tcBorders>
              <w:top w:val="single" w:color="000000" w:sz="4" w:space="0"/>
              <w:left w:val="single" w:color="000000" w:sz="4" w:space="0"/>
              <w:bottom w:val="single" w:color="000000" w:sz="4" w:space="0"/>
            </w:tcBorders>
            <w:shd w:val="clear" w:color="auto" w:fill="auto"/>
            <w:textDirection w:val="btLr"/>
          </w:tcPr>
          <w:p w14:paraId="14C7D72B">
            <w:pPr>
              <w:keepNext/>
              <w:tabs>
                <w:tab w:val="center" w:pos="4153"/>
                <w:tab w:val="center" w:pos="4677"/>
                <w:tab w:val="right" w:pos="8306"/>
                <w:tab w:val="right" w:pos="9355"/>
              </w:tabs>
              <w:suppressAutoHyphens/>
              <w:spacing w:after="0" w:line="240" w:lineRule="auto"/>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Семінарські зан.</w:t>
            </w:r>
          </w:p>
          <w:p w14:paraId="51964005">
            <w:pPr>
              <w:suppressAutoHyphens/>
              <w:spacing w:after="0" w:line="240" w:lineRule="auto"/>
              <w:jc w:val="both"/>
              <w:rPr>
                <w:rFonts w:ascii="Times New Roman" w:hAnsi="Times New Roman" w:eastAsia="Times New Roman" w:cs="Times New Roman"/>
                <w:b/>
                <w:bCs/>
                <w:lang w:eastAsia="ru-RU"/>
              </w:rPr>
            </w:pPr>
          </w:p>
        </w:tc>
        <w:tc>
          <w:tcPr>
            <w:tcW w:w="849" w:type="dxa"/>
            <w:tcBorders>
              <w:top w:val="single" w:color="000000" w:sz="4" w:space="0"/>
              <w:left w:val="single" w:color="000000" w:sz="4" w:space="0"/>
              <w:bottom w:val="single" w:color="000000" w:sz="4" w:space="0"/>
            </w:tcBorders>
            <w:shd w:val="clear" w:color="auto" w:fill="auto"/>
            <w:textDirection w:val="btLr"/>
          </w:tcPr>
          <w:p w14:paraId="0C22F0E3">
            <w:pPr>
              <w:keepNext/>
              <w:tabs>
                <w:tab w:val="center" w:pos="4153"/>
                <w:tab w:val="center" w:pos="4677"/>
                <w:tab w:val="right" w:pos="8306"/>
                <w:tab w:val="right" w:pos="9355"/>
              </w:tab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Самостійна робота</w:t>
            </w:r>
          </w:p>
        </w:tc>
        <w:tc>
          <w:tcPr>
            <w:tcW w:w="2548" w:type="dxa"/>
            <w:tcBorders>
              <w:top w:val="single" w:color="000000" w:sz="4" w:space="0"/>
              <w:left w:val="single" w:color="000000" w:sz="4" w:space="0"/>
              <w:bottom w:val="single" w:color="000000" w:sz="4" w:space="0"/>
              <w:right w:val="single" w:color="000000" w:sz="4" w:space="0"/>
            </w:tcBorders>
            <w:shd w:val="clear" w:color="auto" w:fill="auto"/>
          </w:tcPr>
          <w:p w14:paraId="337FEB9D">
            <w:pPr>
              <w:keepNext/>
              <w:tabs>
                <w:tab w:val="center" w:pos="4153"/>
                <w:tab w:val="center" w:pos="4677"/>
                <w:tab w:val="right" w:pos="8306"/>
                <w:tab w:val="right" w:pos="9355"/>
              </w:tabs>
              <w:suppressAutoHyphens/>
              <w:spacing w:after="0" w:line="276"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Методи навчання/методи оцінювання</w:t>
            </w:r>
          </w:p>
        </w:tc>
      </w:tr>
      <w:tr w14:paraId="3AF2466D">
        <w:tblPrEx>
          <w:tblCellMar>
            <w:top w:w="0" w:type="dxa"/>
            <w:left w:w="108" w:type="dxa"/>
            <w:bottom w:w="0" w:type="dxa"/>
            <w:right w:w="108" w:type="dxa"/>
          </w:tblCellMar>
        </w:tblPrEx>
        <w:trPr>
          <w:trHeight w:val="325" w:hRule="atLeast"/>
        </w:trPr>
        <w:tc>
          <w:tcPr>
            <w:tcW w:w="7081" w:type="dxa"/>
            <w:gridSpan w:val="5"/>
            <w:tcBorders>
              <w:top w:val="single" w:color="000000" w:sz="4" w:space="0"/>
              <w:left w:val="single" w:color="000000" w:sz="4" w:space="0"/>
              <w:bottom w:val="single" w:color="000000" w:sz="4" w:space="0"/>
            </w:tcBorders>
            <w:shd w:val="clear" w:color="auto" w:fill="auto"/>
          </w:tcPr>
          <w:p w14:paraId="5E1F653E">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lang w:eastAsia="ru-RU"/>
              </w:rPr>
              <w:t xml:space="preserve">Змістовний модуль 1. </w:t>
            </w:r>
            <w:r>
              <w:t xml:space="preserve">  </w:t>
            </w:r>
            <w:r>
              <w:rPr>
                <w:sz w:val="24"/>
                <w:szCs w:val="24"/>
              </w:rPr>
              <w:t xml:space="preserve"> Економічна природа інтелектуальної власності</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57BDA88">
            <w:pPr>
              <w:suppressAutoHyphens/>
              <w:snapToGrid w:val="0"/>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Методи навчання:</w:t>
            </w:r>
            <w:r>
              <w:rPr>
                <w:rFonts w:ascii="Times New Roman" w:hAnsi="Times New Roman" w:eastAsia="Times New Roman" w:cs="Times New Roman"/>
                <w:bCs/>
                <w:lang w:eastAsia="ru-RU"/>
              </w:rPr>
              <w:t xml:space="preserve"> словесні (навчальна лекція; бесіда; навчальна дискусія); індуктивний метод; дедуктивний метод; аналітичний; синтетичний; репродуктивний; метод проблемного викладу; дослідницький; інтерактивні методи (аналіз ситуацій; дискусії, дебати, полеміки; діалог, синтез думок; мозковий штурм; відпрацювання навичок; ситуативне моделювання, опрацювання дискусійних питань); моделювання професійної діяльності; інноваційні методи навчання (компетентнісний; проєктно-дослідницький); кейс-метод.</w:t>
            </w:r>
          </w:p>
          <w:p w14:paraId="2B7B7989">
            <w:pPr>
              <w:suppressAutoHyphens/>
              <w:snapToGrid w:val="0"/>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lang w:eastAsia="ru-RU"/>
              </w:rPr>
              <w:t>Методи оцінювання:</w:t>
            </w:r>
            <w:r>
              <w:rPr>
                <w:rFonts w:ascii="Times New Roman" w:hAnsi="Times New Roman" w:eastAsia="Times New Roman" w:cs="Times New Roman"/>
                <w:bCs/>
                <w:lang w:eastAsia="ru-RU"/>
              </w:rPr>
              <w:t xml:space="preserve"> усний контроль (усне опитування, оцінювання участі у дискусіях, інших інтерактивних методах навчання); письмовий контроль (контрольні, самостійні роботи);  тестовий контроль (тести закритої форми: метод самоконтролю та самооцінки; оцінювання кейс-завдань.</w:t>
            </w:r>
          </w:p>
        </w:tc>
      </w:tr>
      <w:tr w14:paraId="73F53C0D">
        <w:tblPrEx>
          <w:tblCellMar>
            <w:top w:w="0" w:type="dxa"/>
            <w:left w:w="108" w:type="dxa"/>
            <w:bottom w:w="0" w:type="dxa"/>
            <w:right w:w="108" w:type="dxa"/>
          </w:tblCellMar>
        </w:tblPrEx>
        <w:trPr>
          <w:trHeight w:val="59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7B848C46">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1.</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270660FA">
            <w:pPr>
              <w:suppressAutoHyphens/>
              <w:spacing w:after="0" w:line="240" w:lineRule="auto"/>
              <w:jc w:val="both"/>
              <w:rPr>
                <w:rFonts w:ascii="Times New Roman" w:hAnsi="Times New Roman" w:eastAsia="Times New Roman" w:cs="Times New Roman"/>
                <w:lang w:eastAsia="ru-RU"/>
              </w:rPr>
            </w:pPr>
            <w:r>
              <w:rPr>
                <w:rFonts w:ascii="Times New Roman" w:hAnsi="Times New Roman" w:cs="Times New Roman"/>
              </w:rPr>
              <w:t>Економічна сутність і функції інтелектуальної власності</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3AC320ED">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6AD2F039">
            <w:pPr>
              <w:suppressAutoHyphens/>
              <w:snapToGri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w:t>
            </w:r>
          </w:p>
        </w:tc>
        <w:tc>
          <w:tcPr>
            <w:tcW w:w="849" w:type="dxa"/>
            <w:tcBorders>
              <w:top w:val="single" w:color="000000" w:sz="4" w:space="0"/>
              <w:left w:val="single" w:color="000000" w:sz="4" w:space="0"/>
              <w:bottom w:val="single" w:color="000000" w:sz="4" w:space="0"/>
            </w:tcBorders>
            <w:shd w:val="clear" w:color="auto" w:fill="auto"/>
          </w:tcPr>
          <w:p w14:paraId="3956A987">
            <w:pPr>
              <w:suppressAutoHyphens/>
              <w:snapToGrid w:val="0"/>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10</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CB26C65">
            <w:pPr>
              <w:suppressAutoHyphens/>
              <w:snapToGrid w:val="0"/>
              <w:spacing w:after="0" w:line="240" w:lineRule="auto"/>
              <w:jc w:val="both"/>
              <w:rPr>
                <w:rFonts w:ascii="Times New Roman" w:hAnsi="Times New Roman" w:eastAsia="Times New Roman" w:cs="Times New Roman"/>
                <w:bCs/>
                <w:sz w:val="24"/>
                <w:szCs w:val="24"/>
                <w:lang w:eastAsia="ru-RU"/>
              </w:rPr>
            </w:pPr>
          </w:p>
        </w:tc>
      </w:tr>
      <w:tr w14:paraId="0DDC1421">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220DA50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2.</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007FC898">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cs="Times New Roman"/>
              </w:rPr>
              <w:t>Інтелектуальний капітал та нематеріальні активи підприємства</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413F2FA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301421F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0F67CF2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6</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C83F85F">
            <w:pPr>
              <w:suppressAutoHyphens/>
              <w:snapToGrid w:val="0"/>
              <w:spacing w:after="0" w:line="240" w:lineRule="auto"/>
              <w:jc w:val="both"/>
              <w:rPr>
                <w:rFonts w:ascii="Times New Roman" w:hAnsi="Times New Roman" w:eastAsia="Times New Roman" w:cs="Times New Roman"/>
                <w:bCs/>
                <w:lang w:eastAsia="ru-RU"/>
              </w:rPr>
            </w:pPr>
          </w:p>
        </w:tc>
      </w:tr>
      <w:tr w14:paraId="66DF55B3">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4EFCF1A1">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3.</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58CE9DCE">
            <w:pPr>
              <w:suppressAutoHyphens/>
              <w:spacing w:after="0" w:line="240" w:lineRule="auto"/>
              <w:jc w:val="both"/>
              <w:rPr>
                <w:rFonts w:ascii="Times New Roman" w:hAnsi="Times New Roman" w:eastAsia="Times New Roman" w:cs="Times New Roman"/>
                <w:iCs/>
                <w:lang w:eastAsia="ru-RU"/>
              </w:rPr>
            </w:pPr>
            <w:r>
              <w:rPr>
                <w:rFonts w:ascii="Times New Roman" w:hAnsi="Times New Roman" w:cs="Times New Roman"/>
              </w:rPr>
              <w:t>Механізми формування вартості прав інтелектуальної власності</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0988CC6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6015E906">
            <w:pPr>
              <w:suppressAutoHyphens/>
              <w:snapToGri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w:t>
            </w:r>
          </w:p>
        </w:tc>
        <w:tc>
          <w:tcPr>
            <w:tcW w:w="849" w:type="dxa"/>
            <w:tcBorders>
              <w:top w:val="single" w:color="000000" w:sz="4" w:space="0"/>
              <w:left w:val="single" w:color="000000" w:sz="4" w:space="0"/>
              <w:bottom w:val="single" w:color="000000" w:sz="4" w:space="0"/>
            </w:tcBorders>
            <w:shd w:val="clear" w:color="auto" w:fill="auto"/>
          </w:tcPr>
          <w:p w14:paraId="43997D12">
            <w:pPr>
              <w:suppressAutoHyphens/>
              <w:snapToGrid w:val="0"/>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10</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5FF8F9">
            <w:pPr>
              <w:suppressAutoHyphens/>
              <w:snapToGrid w:val="0"/>
              <w:spacing w:after="0" w:line="240" w:lineRule="auto"/>
              <w:jc w:val="both"/>
              <w:rPr>
                <w:rFonts w:ascii="Times New Roman" w:hAnsi="Times New Roman" w:eastAsia="Times New Roman" w:cs="Times New Roman"/>
                <w:bCs/>
                <w:lang w:eastAsia="ru-RU"/>
              </w:rPr>
            </w:pPr>
          </w:p>
        </w:tc>
      </w:tr>
      <w:tr w14:paraId="6C07D53C">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20E7ADF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4.</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730897F7">
            <w:pPr>
              <w:suppressAutoHyphens/>
              <w:spacing w:after="0" w:line="240" w:lineRule="auto"/>
              <w:jc w:val="both"/>
              <w:rPr>
                <w:rFonts w:ascii="Times New Roman" w:hAnsi="Times New Roman" w:eastAsia="Times New Roman" w:cs="Times New Roman"/>
                <w:bCs/>
                <w:lang w:eastAsia="ru-RU"/>
              </w:rPr>
            </w:pPr>
            <w:r>
              <w:rPr>
                <w:rFonts w:ascii="Times New Roman" w:hAnsi="Times New Roman" w:cs="Times New Roman"/>
              </w:rPr>
              <w:t>Інтелектуальна власність як фактор конкурентоспроможності підприємства</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2BBADF6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3B1887C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371E64BE">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6</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0B9961">
            <w:pPr>
              <w:suppressAutoHyphens/>
              <w:snapToGrid w:val="0"/>
              <w:spacing w:after="0" w:line="240" w:lineRule="auto"/>
              <w:jc w:val="both"/>
              <w:rPr>
                <w:rFonts w:ascii="Times New Roman" w:hAnsi="Times New Roman" w:eastAsia="Times New Roman" w:cs="Times New Roman"/>
                <w:bCs/>
                <w:lang w:eastAsia="ru-RU"/>
              </w:rPr>
            </w:pPr>
          </w:p>
        </w:tc>
      </w:tr>
      <w:tr w14:paraId="5B12DCC9">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038C4514">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5.</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3742C17F">
            <w:pPr>
              <w:suppressAutoHyphens/>
              <w:spacing w:after="0" w:line="240" w:lineRule="auto"/>
              <w:jc w:val="both"/>
              <w:rPr>
                <w:rFonts w:ascii="Times New Roman" w:hAnsi="Times New Roman" w:eastAsia="Times New Roman" w:cs="Times New Roman"/>
                <w:bCs/>
                <w:lang w:eastAsia="ru-RU"/>
              </w:rPr>
            </w:pPr>
            <w:r>
              <w:rPr>
                <w:rFonts w:ascii="Times New Roman" w:hAnsi="Times New Roman" w:cs="Times New Roman"/>
              </w:rPr>
              <w:t>Державне та міжнародне регулювання інтелектуальної власності</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1705E59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58451A5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6E10183A">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8</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A7E51BE">
            <w:pPr>
              <w:suppressAutoHyphens/>
              <w:snapToGrid w:val="0"/>
              <w:spacing w:after="0" w:line="240" w:lineRule="auto"/>
              <w:jc w:val="both"/>
              <w:rPr>
                <w:rFonts w:ascii="Times New Roman" w:hAnsi="Times New Roman" w:eastAsia="Times New Roman" w:cs="Times New Roman"/>
                <w:bCs/>
                <w:lang w:eastAsia="ru-RU"/>
              </w:rPr>
            </w:pPr>
          </w:p>
        </w:tc>
      </w:tr>
      <w:tr w14:paraId="618977BE">
        <w:tblPrEx>
          <w:tblCellMar>
            <w:top w:w="0" w:type="dxa"/>
            <w:left w:w="108" w:type="dxa"/>
            <w:bottom w:w="0" w:type="dxa"/>
            <w:right w:w="108" w:type="dxa"/>
          </w:tblCellMar>
        </w:tblPrEx>
        <w:trPr>
          <w:trHeight w:val="325" w:hRule="atLeast"/>
        </w:trPr>
        <w:tc>
          <w:tcPr>
            <w:tcW w:w="7081" w:type="dxa"/>
            <w:gridSpan w:val="5"/>
            <w:tcBorders>
              <w:top w:val="single" w:color="000000" w:sz="4" w:space="0"/>
              <w:left w:val="single" w:color="000000" w:sz="4" w:space="0"/>
              <w:bottom w:val="single" w:color="000000" w:sz="4" w:space="0"/>
            </w:tcBorders>
            <w:shd w:val="clear" w:color="auto" w:fill="auto"/>
          </w:tcPr>
          <w:p w14:paraId="46762D81">
            <w:pPr>
              <w:suppressAutoHyphens/>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Змістовний модуль 2. </w:t>
            </w:r>
            <w:r>
              <w:rPr>
                <w:rFonts w:ascii="Times New Roman" w:hAnsi="Times New Roman" w:cs="Times New Roman"/>
                <w:b/>
              </w:rPr>
              <w:t xml:space="preserve"> </w:t>
            </w:r>
            <w:r>
              <w:rPr>
                <w:rFonts w:ascii="Times New Roman" w:hAnsi="Times New Roman" w:cs="Times New Roman"/>
                <w:sz w:val="24"/>
                <w:szCs w:val="24"/>
              </w:rPr>
              <w:t xml:space="preserve"> Права на об’єкти інтелектуальної власності. Комерціалізація об’єктів інтелектуальної власності</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EBC86BB">
            <w:pPr>
              <w:suppressAutoHyphens/>
              <w:snapToGrid w:val="0"/>
              <w:spacing w:after="0" w:line="240" w:lineRule="auto"/>
              <w:jc w:val="both"/>
              <w:rPr>
                <w:rFonts w:ascii="Times New Roman" w:hAnsi="Times New Roman" w:eastAsia="Times New Roman" w:cs="Times New Roman"/>
                <w:bCs/>
                <w:lang w:eastAsia="ru-RU"/>
              </w:rPr>
            </w:pPr>
          </w:p>
        </w:tc>
      </w:tr>
      <w:tr w14:paraId="1B32EA36">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7DACE11C">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6.</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6C44E40F">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cs="Times New Roman"/>
              </w:rPr>
              <w:t>Класифікація та правовий режим об’єктів інтелектуальної власності</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29EDFB1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29C5E9D6">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28A879B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8</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52BD3E">
            <w:pPr>
              <w:suppressAutoHyphens/>
              <w:snapToGrid w:val="0"/>
              <w:spacing w:after="0" w:line="240" w:lineRule="auto"/>
              <w:jc w:val="both"/>
              <w:rPr>
                <w:rFonts w:ascii="Times New Roman" w:hAnsi="Times New Roman" w:eastAsia="Times New Roman" w:cs="Times New Roman"/>
                <w:bCs/>
                <w:lang w:eastAsia="ru-RU"/>
              </w:rPr>
            </w:pPr>
          </w:p>
        </w:tc>
      </w:tr>
      <w:tr w14:paraId="388DC895">
        <w:tblPrEx>
          <w:tblCellMar>
            <w:top w:w="0" w:type="dxa"/>
            <w:left w:w="108" w:type="dxa"/>
            <w:bottom w:w="0" w:type="dxa"/>
            <w:right w:w="108" w:type="dxa"/>
          </w:tblCellMar>
        </w:tblPrEx>
        <w:trPr>
          <w:trHeight w:val="32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0B4FE8AC">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 xml:space="preserve">Тема 7. </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139DB3CD">
            <w:pPr>
              <w:suppressAutoHyphens/>
              <w:spacing w:after="0" w:line="240" w:lineRule="auto"/>
              <w:rPr>
                <w:rFonts w:ascii="Times New Roman" w:hAnsi="Times New Roman" w:eastAsia="Times New Roman" w:cs="Times New Roman"/>
                <w:bCs/>
                <w:lang w:eastAsia="ru-RU"/>
              </w:rPr>
            </w:pPr>
            <w:r>
              <w:rPr>
                <w:rFonts w:ascii="Times New Roman" w:hAnsi="Times New Roman" w:cs="Times New Roman"/>
              </w:rPr>
              <w:t>Управління портфелем прав інтелектуальної власності підприємства</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2407847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4F7247B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6E34FF1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8</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22AA1CC">
            <w:pPr>
              <w:suppressAutoHyphens/>
              <w:snapToGrid w:val="0"/>
              <w:spacing w:after="0" w:line="240" w:lineRule="auto"/>
              <w:jc w:val="both"/>
              <w:rPr>
                <w:rFonts w:ascii="Times New Roman" w:hAnsi="Times New Roman" w:eastAsia="Times New Roman" w:cs="Times New Roman"/>
                <w:bCs/>
                <w:lang w:eastAsia="ru-RU"/>
              </w:rPr>
            </w:pPr>
          </w:p>
        </w:tc>
      </w:tr>
      <w:tr w14:paraId="5414A0F0">
        <w:tblPrEx>
          <w:tblCellMar>
            <w:top w:w="0" w:type="dxa"/>
            <w:left w:w="108" w:type="dxa"/>
            <w:bottom w:w="0" w:type="dxa"/>
            <w:right w:w="108" w:type="dxa"/>
          </w:tblCellMar>
        </w:tblPrEx>
        <w:trPr>
          <w:trHeight w:val="33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53CECF3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8.</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3FEF3882">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cs="Times New Roman"/>
              </w:rPr>
              <w:t>Моделі та механізми комерціалізації інтелектуальної власності</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5757A56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5872040A">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2911CB6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6</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B3F040">
            <w:pPr>
              <w:suppressAutoHyphens/>
              <w:snapToGrid w:val="0"/>
              <w:spacing w:after="0" w:line="240" w:lineRule="auto"/>
              <w:jc w:val="both"/>
              <w:rPr>
                <w:rFonts w:ascii="Times New Roman" w:hAnsi="Times New Roman" w:eastAsia="Times New Roman" w:cs="Times New Roman"/>
                <w:bCs/>
                <w:lang w:eastAsia="ru-RU"/>
              </w:rPr>
            </w:pPr>
          </w:p>
        </w:tc>
      </w:tr>
      <w:tr w14:paraId="2FFE8D57">
        <w:tblPrEx>
          <w:tblCellMar>
            <w:top w:w="0" w:type="dxa"/>
            <w:left w:w="108" w:type="dxa"/>
            <w:bottom w:w="0" w:type="dxa"/>
            <w:right w:w="108" w:type="dxa"/>
          </w:tblCellMar>
        </w:tblPrEx>
        <w:trPr>
          <w:trHeight w:val="33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366F0149">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9.</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5B912F26">
            <w:pPr>
              <w:suppressAutoHyphens/>
              <w:spacing w:after="0" w:line="240" w:lineRule="auto"/>
              <w:jc w:val="both"/>
              <w:rPr>
                <w:rFonts w:ascii="Times New Roman" w:hAnsi="Times New Roman" w:eastAsia="Times New Roman" w:cs="Times New Roman"/>
                <w:bCs/>
                <w:lang w:eastAsia="ru-RU"/>
              </w:rPr>
            </w:pPr>
            <w:r>
              <w:rPr>
                <w:rFonts w:ascii="Times New Roman" w:hAnsi="Times New Roman" w:cs="Times New Roman"/>
              </w:rPr>
              <w:t>Ліцензійна політика та трансфер технологій</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6BCAB8A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5B1A64B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849" w:type="dxa"/>
            <w:tcBorders>
              <w:top w:val="single" w:color="000000" w:sz="4" w:space="0"/>
              <w:left w:val="single" w:color="000000" w:sz="4" w:space="0"/>
              <w:bottom w:val="single" w:color="000000" w:sz="4" w:space="0"/>
            </w:tcBorders>
            <w:shd w:val="clear" w:color="auto" w:fill="auto"/>
          </w:tcPr>
          <w:p w14:paraId="1E97759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6</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385D30E">
            <w:pPr>
              <w:suppressAutoHyphens/>
              <w:snapToGrid w:val="0"/>
              <w:spacing w:after="0" w:line="240" w:lineRule="auto"/>
              <w:jc w:val="both"/>
              <w:rPr>
                <w:rFonts w:ascii="Times New Roman" w:hAnsi="Times New Roman" w:eastAsia="Times New Roman" w:cs="Times New Roman"/>
                <w:bCs/>
                <w:lang w:eastAsia="ru-RU"/>
              </w:rPr>
            </w:pPr>
          </w:p>
        </w:tc>
      </w:tr>
      <w:tr w14:paraId="72CFDFA7">
        <w:tblPrEx>
          <w:tblCellMar>
            <w:top w:w="0" w:type="dxa"/>
            <w:left w:w="108" w:type="dxa"/>
            <w:bottom w:w="0" w:type="dxa"/>
            <w:right w:w="108" w:type="dxa"/>
          </w:tblCellMar>
        </w:tblPrEx>
        <w:trPr>
          <w:trHeight w:val="33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Pr>
          <w:p w14:paraId="5381007F">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lang w:eastAsia="ru-RU"/>
              </w:rPr>
              <w:t>Тема 10.</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14:paraId="16FCE354">
            <w:pPr>
              <w:suppressAutoHyphens/>
              <w:spacing w:after="0" w:line="240" w:lineRule="auto"/>
              <w:jc w:val="both"/>
              <w:rPr>
                <w:rFonts w:ascii="Times New Roman" w:hAnsi="Times New Roman" w:eastAsia="Times New Roman" w:cs="Times New Roman"/>
                <w:bCs/>
                <w:lang w:eastAsia="ru-RU"/>
              </w:rPr>
            </w:pPr>
            <w:r>
              <w:rPr>
                <w:rFonts w:ascii="Times New Roman" w:hAnsi="Times New Roman" w:cs="Times New Roman"/>
              </w:rPr>
              <w:t>Оцінка економічної результативності комерціалізації ІВ</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7EA9C329">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2</w:t>
            </w:r>
          </w:p>
        </w:tc>
        <w:tc>
          <w:tcPr>
            <w:tcW w:w="708" w:type="dxa"/>
            <w:tcBorders>
              <w:top w:val="single" w:color="000000" w:sz="4" w:space="0"/>
              <w:left w:val="single" w:color="000000" w:sz="4" w:space="0"/>
              <w:bottom w:val="single" w:color="000000" w:sz="4" w:space="0"/>
            </w:tcBorders>
            <w:shd w:val="clear" w:color="auto" w:fill="auto"/>
          </w:tcPr>
          <w:p w14:paraId="51B0FE32">
            <w:pPr>
              <w:suppressAutoHyphens/>
              <w:snapToGri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w:t>
            </w:r>
          </w:p>
        </w:tc>
        <w:tc>
          <w:tcPr>
            <w:tcW w:w="849" w:type="dxa"/>
            <w:tcBorders>
              <w:top w:val="single" w:color="000000" w:sz="4" w:space="0"/>
              <w:left w:val="single" w:color="000000" w:sz="4" w:space="0"/>
              <w:bottom w:val="single" w:color="000000" w:sz="4" w:space="0"/>
            </w:tcBorders>
            <w:shd w:val="clear" w:color="auto" w:fill="auto"/>
          </w:tcPr>
          <w:p w14:paraId="0E149936">
            <w:pPr>
              <w:suppressAutoHyphens/>
              <w:snapToGrid w:val="0"/>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12</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7466650">
            <w:pPr>
              <w:suppressAutoHyphens/>
              <w:snapToGrid w:val="0"/>
              <w:spacing w:after="0" w:line="240" w:lineRule="auto"/>
              <w:jc w:val="both"/>
              <w:rPr>
                <w:rFonts w:ascii="Times New Roman" w:hAnsi="Times New Roman" w:eastAsia="Times New Roman" w:cs="Times New Roman"/>
                <w:bCs/>
                <w:lang w:eastAsia="ru-RU"/>
              </w:rPr>
            </w:pPr>
          </w:p>
        </w:tc>
      </w:tr>
      <w:tr w14:paraId="1B25DCE7">
        <w:tblPrEx>
          <w:tblCellMar>
            <w:top w:w="0" w:type="dxa"/>
            <w:left w:w="108" w:type="dxa"/>
            <w:bottom w:w="0" w:type="dxa"/>
            <w:right w:w="108" w:type="dxa"/>
          </w:tblCellMar>
        </w:tblPrEx>
        <w:trPr>
          <w:trHeight w:val="335" w:hRule="atLeast"/>
        </w:trPr>
        <w:tc>
          <w:tcPr>
            <w:tcW w:w="9629" w:type="dxa"/>
            <w:gridSpan w:val="6"/>
            <w:tcBorders>
              <w:top w:val="single" w:color="000000" w:sz="4" w:space="0"/>
              <w:left w:val="single" w:color="000000" w:sz="4" w:space="0"/>
              <w:bottom w:val="single" w:color="000000" w:sz="4" w:space="0"/>
              <w:right w:val="single" w:color="000000" w:sz="4" w:space="0"/>
            </w:tcBorders>
            <w:shd w:val="clear" w:color="auto" w:fill="auto"/>
          </w:tcPr>
          <w:p w14:paraId="2BC40CA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lang w:eastAsia="ru-RU"/>
              </w:rPr>
              <w:t xml:space="preserve">Модульна контрольна робота </w:t>
            </w:r>
          </w:p>
        </w:tc>
      </w:tr>
      <w:tr w14:paraId="6FD4CBDA">
        <w:tblPrEx>
          <w:tblCellMar>
            <w:top w:w="0" w:type="dxa"/>
            <w:left w:w="108" w:type="dxa"/>
            <w:bottom w:w="0" w:type="dxa"/>
            <w:right w:w="108" w:type="dxa"/>
          </w:tblCellMar>
        </w:tblPrEx>
        <w:trPr>
          <w:trHeight w:val="335" w:hRule="atLeast"/>
        </w:trPr>
        <w:tc>
          <w:tcPr>
            <w:tcW w:w="4957" w:type="dxa"/>
            <w:gridSpan w:val="2"/>
            <w:tcBorders>
              <w:top w:val="single" w:color="000000" w:sz="4" w:space="0"/>
              <w:left w:val="single" w:color="000000" w:sz="4" w:space="0"/>
              <w:bottom w:val="single" w:color="000000" w:sz="4" w:space="0"/>
              <w:right w:val="single" w:color="000000" w:sz="4" w:space="0"/>
            </w:tcBorders>
            <w:shd w:val="clear" w:color="auto" w:fill="auto"/>
          </w:tcPr>
          <w:p w14:paraId="16983DEC">
            <w:pPr>
              <w:suppressAutoHyphens/>
              <w:snapToGrid w:val="0"/>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Всього:</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14:paraId="698C3C7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lang w:eastAsia="ru-RU"/>
              </w:rPr>
              <w:t>20</w:t>
            </w:r>
          </w:p>
        </w:tc>
        <w:tc>
          <w:tcPr>
            <w:tcW w:w="708" w:type="dxa"/>
            <w:tcBorders>
              <w:top w:val="single" w:color="000000" w:sz="4" w:space="0"/>
              <w:left w:val="single" w:color="000000" w:sz="4" w:space="0"/>
              <w:bottom w:val="single" w:color="000000" w:sz="4" w:space="0"/>
            </w:tcBorders>
            <w:shd w:val="clear" w:color="auto" w:fill="auto"/>
          </w:tcPr>
          <w:p w14:paraId="43F83769">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lang w:eastAsia="ru-RU"/>
              </w:rPr>
              <w:t>20</w:t>
            </w:r>
          </w:p>
        </w:tc>
        <w:tc>
          <w:tcPr>
            <w:tcW w:w="849" w:type="dxa"/>
            <w:tcBorders>
              <w:top w:val="single" w:color="000000" w:sz="4" w:space="0"/>
              <w:left w:val="single" w:color="000000" w:sz="4" w:space="0"/>
              <w:bottom w:val="single" w:color="000000" w:sz="4" w:space="0"/>
            </w:tcBorders>
            <w:shd w:val="clear" w:color="auto" w:fill="auto"/>
          </w:tcPr>
          <w:p w14:paraId="247287F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lang w:eastAsia="ru-RU"/>
              </w:rPr>
              <w:t>80</w:t>
            </w:r>
          </w:p>
        </w:tc>
        <w:tc>
          <w:tcPr>
            <w:tcW w:w="2548" w:type="dxa"/>
            <w:tcBorders>
              <w:top w:val="single" w:color="000000" w:sz="4" w:space="0"/>
              <w:left w:val="single" w:color="000000" w:sz="4" w:space="0"/>
              <w:bottom w:val="single" w:color="000000" w:sz="4" w:space="0"/>
              <w:right w:val="single" w:color="000000" w:sz="4" w:space="0"/>
            </w:tcBorders>
            <w:shd w:val="clear" w:color="auto" w:fill="auto"/>
          </w:tcPr>
          <w:p w14:paraId="58D7F4BD">
            <w:pPr>
              <w:suppressAutoHyphens/>
              <w:snapToGrid w:val="0"/>
              <w:spacing w:after="0" w:line="240" w:lineRule="auto"/>
              <w:jc w:val="center"/>
              <w:rPr>
                <w:rFonts w:ascii="Times New Roman" w:hAnsi="Times New Roman" w:eastAsia="Times New Roman" w:cs="Times New Roman"/>
                <w:b/>
                <w:lang w:eastAsia="ru-RU"/>
              </w:rPr>
            </w:pPr>
          </w:p>
        </w:tc>
      </w:tr>
      <w:tr w14:paraId="1C4D1C28">
        <w:tblPrEx>
          <w:tblCellMar>
            <w:top w:w="0" w:type="dxa"/>
            <w:left w:w="108" w:type="dxa"/>
            <w:bottom w:w="0" w:type="dxa"/>
            <w:right w:w="108" w:type="dxa"/>
          </w:tblCellMar>
        </w:tblPrEx>
        <w:trPr>
          <w:trHeight w:val="335" w:hRule="atLeast"/>
        </w:trPr>
        <w:tc>
          <w:tcPr>
            <w:tcW w:w="9629" w:type="dxa"/>
            <w:gridSpan w:val="6"/>
            <w:tcBorders>
              <w:left w:val="single" w:color="000000" w:sz="4" w:space="0"/>
              <w:bottom w:val="single" w:color="000000" w:sz="4" w:space="0"/>
              <w:right w:val="single" w:color="000000" w:sz="4" w:space="0"/>
            </w:tcBorders>
            <w:shd w:val="clear" w:color="auto" w:fill="auto"/>
          </w:tcPr>
          <w:p w14:paraId="519D583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lang w:eastAsia="ru-RU"/>
              </w:rPr>
              <w:t xml:space="preserve">Форма контролю: </w:t>
            </w:r>
            <w:r>
              <w:t xml:space="preserve"> </w:t>
            </w:r>
            <w:r>
              <w:rPr>
                <w:rFonts w:ascii="Times New Roman" w:hAnsi="Times New Roman" w:eastAsia="Times New Roman" w:cs="Times New Roman"/>
                <w:b/>
                <w:bCs/>
                <w:lang w:eastAsia="ru-RU"/>
              </w:rPr>
              <w:t>екзамен</w:t>
            </w:r>
          </w:p>
        </w:tc>
      </w:tr>
    </w:tbl>
    <w:p w14:paraId="6ED68617">
      <w:pPr>
        <w:pStyle w:val="19"/>
        <w:ind w:left="0" w:firstLine="709"/>
        <w:jc w:val="both"/>
        <w:rPr>
          <w:rFonts w:ascii="Times New Roman" w:hAnsi="Times New Roman" w:cs="Times New Roman"/>
          <w:b/>
          <w:sz w:val="24"/>
          <w:szCs w:val="24"/>
        </w:rPr>
      </w:pPr>
    </w:p>
    <w:p w14:paraId="0CC4BF8B">
      <w:pPr>
        <w:spacing w:after="0" w:line="240" w:lineRule="auto"/>
        <w:ind w:firstLine="709"/>
        <w:jc w:val="both"/>
        <w:rPr>
          <w:rFonts w:ascii="Times New Roman" w:hAnsi="Times New Roman" w:eastAsia="Calibri" w:cs="Times New Roman"/>
          <w:color w:val="000000" w:themeColor="text1"/>
          <w:sz w:val="24"/>
          <w:szCs w:val="24"/>
          <w:lang w:eastAsia="uk"/>
          <w14:textFill>
            <w14:solidFill>
              <w14:schemeClr w14:val="tx1"/>
            </w14:solidFill>
          </w14:textFill>
        </w:rPr>
      </w:pPr>
      <w:r>
        <w:rPr>
          <w:rFonts w:ascii="Times New Roman" w:hAnsi="Times New Roman" w:eastAsia="Calibri" w:cs="Times New Roman"/>
          <w:color w:val="000000" w:themeColor="text1"/>
          <w:sz w:val="24"/>
          <w:szCs w:val="24"/>
          <w:lang w:eastAsia="uk"/>
          <w14:textFill>
            <w14:solidFill>
              <w14:schemeClr w14:val="tx1"/>
            </w14:solidFill>
          </w14:textFill>
        </w:rPr>
        <w:t xml:space="preserve">Зміст самостійної роботи здобувача освіти з навчальної дисципліни  «Управління інтелектуальною власністю» передбачає підготовку до аудиторних занять шляхом опанування матеріалів лекції, вивчення базової і додаткової літератури, періодичних видань, Інтернет-джерел, виконання практичних завдань (написання рефератів, аналіз проблемних ситуацій, підготовка результатів власних досліджень до виступу на конференціях, участь в конкурсах наукових робіт, підготовці та публікації наукових статей, тез тощо) протягом семестру; самостійне опрацювання окремих тем навчальної дисципліни; підготовку доповідей та презентацій за тематикою практичних занять; виконання індивідуальних завдань;  підготовку до усіх видів контролю, у тому числі модульних контрольних робіт і підсумкової атестації; підготовку документів, інші види діяльності, що використовуються в Академії, Інституті і кафедрі. </w:t>
      </w:r>
    </w:p>
    <w:p w14:paraId="61A6ABA9">
      <w:pPr>
        <w:spacing w:after="0" w:line="240" w:lineRule="auto"/>
        <w:ind w:firstLine="709"/>
        <w:jc w:val="both"/>
        <w:rPr>
          <w:rFonts w:ascii="Times New Roman" w:hAnsi="Times New Roman" w:eastAsia="Calibri" w:cs="Times New Roman"/>
          <w:sz w:val="24"/>
          <w:szCs w:val="24"/>
          <w:lang w:eastAsia="uk"/>
        </w:rPr>
      </w:pPr>
      <w:r>
        <w:rPr>
          <w:rFonts w:ascii="Times New Roman" w:hAnsi="Times New Roman" w:eastAsia="Calibri" w:cs="Times New Roman"/>
          <w:sz w:val="24"/>
          <w:szCs w:val="24"/>
          <w:lang w:eastAsia="uk"/>
        </w:rPr>
        <w:t>Зміст самостійної роботи здобувача освіти визначається робочою програмою навчальної дисципліни конкретної навчальної дисципліни, методичними рекомендаціями, завданнями та рекомендаціями викладача.</w:t>
      </w:r>
    </w:p>
    <w:p w14:paraId="7412F98C">
      <w:pPr>
        <w:spacing w:after="0" w:line="240" w:lineRule="auto"/>
        <w:ind w:firstLine="709"/>
        <w:jc w:val="both"/>
        <w:rPr>
          <w:rFonts w:ascii="Times New Roman" w:hAnsi="Times New Roman" w:eastAsia="Calibri" w:cs="Times New Roman"/>
          <w:color w:val="000000" w:themeColor="text1"/>
          <w:sz w:val="24"/>
          <w:szCs w:val="24"/>
          <w:lang w:eastAsia="uk"/>
          <w14:textFill>
            <w14:solidFill>
              <w14:schemeClr w14:val="tx1"/>
            </w14:solidFill>
          </w14:textFill>
        </w:rPr>
      </w:pPr>
      <w:r>
        <w:rPr>
          <w:rFonts w:ascii="Times New Roman" w:hAnsi="Times New Roman" w:eastAsia="Calibri" w:cs="Times New Roman"/>
          <w:b/>
          <w:color w:val="000000" w:themeColor="text1"/>
          <w:sz w:val="24"/>
          <w:szCs w:val="24"/>
          <w:lang w:eastAsia="uk"/>
          <w14:textFill>
            <w14:solidFill>
              <w14:schemeClr w14:val="tx1"/>
            </w14:solidFill>
          </w14:textFill>
        </w:rPr>
        <w:t>Технічне обладнання та/або програмне забезпечення.</w:t>
      </w:r>
      <w:r>
        <w:rPr>
          <w:rFonts w:ascii="Times New Roman" w:hAnsi="Times New Roman" w:eastAsia="Calibri" w:cs="Times New Roman"/>
          <w:color w:val="000000" w:themeColor="text1"/>
          <w:sz w:val="24"/>
          <w:szCs w:val="24"/>
          <w:lang w:eastAsia="uk"/>
          <w14:textFill>
            <w14:solidFill>
              <w14:schemeClr w14:val="tx1"/>
            </w14:solidFill>
          </w14:textFill>
        </w:rPr>
        <w:t xml:space="preserve"> В освітньому процесі використовуються навчальні аудиторії, бібліотека,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119A4BFD">
      <w:pPr>
        <w:widowControl w:val="0"/>
        <w:tabs>
          <w:tab w:val="left" w:pos="1033"/>
        </w:tabs>
        <w:spacing w:after="0" w:line="240" w:lineRule="auto"/>
        <w:ind w:firstLine="567"/>
        <w:jc w:val="both"/>
        <w:rPr>
          <w:rFonts w:ascii="Times New Roman" w:hAnsi="Times New Roman" w:eastAsia="Times New Roman" w:cs="Times New Roman"/>
          <w:b/>
          <w:bCs/>
          <w:color w:val="000000"/>
          <w:sz w:val="24"/>
          <w:szCs w:val="24"/>
          <w:lang w:eastAsia="uk-UA" w:bidi="uk-UA"/>
        </w:rPr>
      </w:pPr>
      <w:bookmarkStart w:id="2" w:name="bookmark16"/>
      <w:bookmarkStart w:id="3" w:name="bookmark17"/>
      <w:r>
        <w:rPr>
          <w:rFonts w:ascii="Times New Roman" w:hAnsi="Times New Roman" w:eastAsia="Times New Roman" w:cs="Times New Roman"/>
          <w:b/>
          <w:bCs/>
          <w:color w:val="000000"/>
          <w:sz w:val="24"/>
          <w:szCs w:val="24"/>
          <w:lang w:eastAsia="uk-UA" w:bidi="uk-UA"/>
        </w:rPr>
        <w:t>Форми методи контролю.</w:t>
      </w:r>
    </w:p>
    <w:p w14:paraId="6761E454">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Контроль успішності здобувачів освіти поділяється на поточний і підсумковий (семестровий).</w:t>
      </w:r>
    </w:p>
    <w:p w14:paraId="318145EE">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Поточний контроль здійснюють під час проведення практичних, лабораторних і семінарських занять, метою якого є систематична перевірка розуміння та засвоєння теоретичного навчального матеріалу, уміння використовувати теоретичні знання під час виконання практичних завдань тощо. Можливості поточного контролю є надзвичайно широкими: мотивація навчання, стимулювання навчально-пізнавальної діяльності, диференційований підхід до навчання, індивідуалізація навчання тощо.</w:t>
      </w:r>
    </w:p>
    <w:p w14:paraId="47648604">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Форми участі студентів у навчальному процесі, які підлягають поточному контролю:</w:t>
      </w:r>
    </w:p>
    <w:p w14:paraId="76761706">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-виступ з основного питання;</w:t>
      </w:r>
    </w:p>
    <w:p w14:paraId="2B5E3DA3">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-усна доповідь;</w:t>
      </w:r>
    </w:p>
    <w:p w14:paraId="596F64D0">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доповнення, запитання до того, хто відповідає;</w:t>
      </w:r>
    </w:p>
    <w:p w14:paraId="217B6E29">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систематичність роботи на семінарських заняттях, активність під час обговорення питань;</w:t>
      </w:r>
    </w:p>
    <w:p w14:paraId="173DD245">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участь у дискусіях, інтерактивних формах організації заняття;</w:t>
      </w:r>
    </w:p>
    <w:p w14:paraId="39B85D76">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аналіз законодавства та монографічної літератури;</w:t>
      </w:r>
    </w:p>
    <w:p w14:paraId="70E63AC7">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письмові завдання (тестові, контрольні, творчі роботи, реферати тощо);</w:t>
      </w:r>
    </w:p>
    <w:p w14:paraId="4B69C600">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підготовка тез, конспектів навчальних або наукових текстів;</w:t>
      </w:r>
    </w:p>
    <w:p w14:paraId="33DDC272">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самостійне опрацювання тем;</w:t>
      </w:r>
    </w:p>
    <w:p w14:paraId="141B678F">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Методи поточного контролю: усний контроль (опитування, бесіда, доповідь, повідомлення тощо); письмовий контроль (контрольна робота, реферат, виклад матеріалу на задану тему в письмовій формі тощо); комбінований контроль; презентація самостійної роботи; спостереження як метод контролю; тестовий контроль; проблемні ситуації.</w:t>
      </w:r>
    </w:p>
    <w:p w14:paraId="7A608C32">
      <w:pPr>
        <w:widowControl w:val="0"/>
        <w:spacing w:after="0" w:line="240" w:lineRule="auto"/>
        <w:ind w:firstLine="709"/>
        <w:jc w:val="both"/>
        <w:rPr>
          <w:rFonts w:ascii="Times New Roman" w:hAnsi="Times New Roman" w:eastAsia="Times New Roman" w:cs="Times New Roman"/>
          <w:sz w:val="24"/>
          <w:szCs w:val="24"/>
          <w:lang w:eastAsia="uk-UA" w:bidi="uk-UA"/>
        </w:rPr>
      </w:pPr>
    </w:p>
    <w:p w14:paraId="64EF63A8">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Система оцінювання та вимоги.</w:t>
      </w:r>
    </w:p>
    <w:p w14:paraId="4ECF09DC">
      <w:pPr>
        <w:suppressAutoHyphens/>
        <w:spacing w:after="0" w:line="240" w:lineRule="auto"/>
        <w:ind w:firstLine="450"/>
        <w:jc w:val="both"/>
        <w:rPr>
          <w:rFonts w:ascii="Times New Roman" w:hAnsi="Times New Roman" w:eastAsia="Times New Roman" w:cs="Times New Roman"/>
          <w:sz w:val="24"/>
          <w:szCs w:val="24"/>
          <w:lang w:eastAsia="ru-RU"/>
        </w:rPr>
      </w:pPr>
    </w:p>
    <w:p w14:paraId="77BA10FD">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Таблиця розподілу балів, які отримують здобувачі вищої освіти*</w:t>
      </w:r>
    </w:p>
    <w:p w14:paraId="382AB278">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1-й семестр</w:t>
      </w:r>
    </w:p>
    <w:tbl>
      <w:tblPr>
        <w:tblStyle w:val="4"/>
        <w:tblW w:w="5062" w:type="pct"/>
        <w:tblInd w:w="55" w:type="dxa"/>
        <w:tblLayout w:type="fixed"/>
        <w:tblCellMar>
          <w:top w:w="55" w:type="dxa"/>
          <w:left w:w="55" w:type="dxa"/>
          <w:bottom w:w="55" w:type="dxa"/>
          <w:right w:w="55" w:type="dxa"/>
        </w:tblCellMar>
      </w:tblPr>
      <w:tblGrid>
        <w:gridCol w:w="1107"/>
        <w:gridCol w:w="392"/>
        <w:gridCol w:w="486"/>
        <w:gridCol w:w="425"/>
        <w:gridCol w:w="567"/>
        <w:gridCol w:w="567"/>
        <w:gridCol w:w="425"/>
        <w:gridCol w:w="567"/>
        <w:gridCol w:w="709"/>
        <w:gridCol w:w="567"/>
        <w:gridCol w:w="713"/>
        <w:gridCol w:w="8"/>
        <w:gridCol w:w="1264"/>
        <w:gridCol w:w="1052"/>
        <w:gridCol w:w="8"/>
        <w:gridCol w:w="1013"/>
      </w:tblGrid>
      <w:tr w14:paraId="66F72EC1">
        <w:tblPrEx>
          <w:tblCellMar>
            <w:top w:w="55" w:type="dxa"/>
            <w:left w:w="55" w:type="dxa"/>
            <w:bottom w:w="55" w:type="dxa"/>
            <w:right w:w="55" w:type="dxa"/>
          </w:tblCellMar>
        </w:tblPrEx>
        <w:trPr>
          <w:trHeight w:val="666" w:hRule="atLeast"/>
        </w:trPr>
        <w:tc>
          <w:tcPr>
            <w:tcW w:w="1107" w:type="dxa"/>
            <w:tcBorders>
              <w:top w:val="single" w:color="000000" w:sz="4" w:space="0"/>
              <w:left w:val="single" w:color="000000" w:sz="4" w:space="0"/>
              <w:bottom w:val="single" w:color="000000" w:sz="4" w:space="0"/>
            </w:tcBorders>
          </w:tcPr>
          <w:p w14:paraId="344A26A4">
            <w:pPr>
              <w:widowControl w:val="0"/>
              <w:suppressLineNumbers/>
              <w:suppressAutoHyphens/>
              <w:snapToGrid w:val="0"/>
              <w:rPr>
                <w:rFonts w:ascii="Times New Roman" w:hAnsi="Times New Roman" w:cs="Times New Roman"/>
                <w:sz w:val="20"/>
                <w:szCs w:val="20"/>
              </w:rPr>
            </w:pPr>
          </w:p>
        </w:tc>
        <w:tc>
          <w:tcPr>
            <w:tcW w:w="5426" w:type="dxa"/>
            <w:gridSpan w:val="11"/>
            <w:tcBorders>
              <w:top w:val="single" w:color="000000" w:sz="4" w:space="0"/>
              <w:left w:val="single" w:color="000000" w:sz="4" w:space="0"/>
              <w:bottom w:val="single" w:color="000000" w:sz="4" w:space="0"/>
              <w:right w:val="single" w:color="000000" w:sz="4" w:space="0"/>
            </w:tcBorders>
          </w:tcPr>
          <w:p w14:paraId="1BB9253E">
            <w:pPr>
              <w:widowControl w:val="0"/>
              <w:suppressLineNumbers/>
              <w:suppressAutoHyphens/>
              <w:snapToGrid w:val="0"/>
              <w:jc w:val="center"/>
              <w:rPr>
                <w:rFonts w:ascii="Times New Roman" w:hAnsi="Times New Roman" w:cs="Times New Roman"/>
                <w:b/>
                <w:bCs/>
                <w:sz w:val="20"/>
                <w:szCs w:val="20"/>
              </w:rPr>
            </w:pPr>
          </w:p>
          <w:p w14:paraId="28D66FD3">
            <w:pPr>
              <w:widowControl w:val="0"/>
              <w:suppressLineNumbers/>
              <w:suppressAutoHyphens/>
              <w:jc w:val="center"/>
              <w:rPr>
                <w:rFonts w:ascii="Times New Roman" w:hAnsi="Times New Roman" w:cs="Times New Roman"/>
                <w:b/>
                <w:bCs/>
                <w:sz w:val="20"/>
                <w:szCs w:val="20"/>
              </w:rPr>
            </w:pPr>
            <w:r>
              <w:rPr>
                <w:rFonts w:ascii="Times New Roman" w:hAnsi="Times New Roman" w:cs="Times New Roman"/>
                <w:b/>
                <w:bCs/>
                <w:sz w:val="20"/>
                <w:szCs w:val="20"/>
              </w:rPr>
              <w:t>Поточний контроль знань</w:t>
            </w:r>
          </w:p>
        </w:tc>
        <w:tc>
          <w:tcPr>
            <w:tcW w:w="1264" w:type="dxa"/>
            <w:tcBorders>
              <w:top w:val="single" w:color="000000" w:sz="4" w:space="0"/>
              <w:left w:val="single" w:color="000000" w:sz="4" w:space="0"/>
              <w:bottom w:val="single" w:color="000000" w:sz="4" w:space="0"/>
            </w:tcBorders>
          </w:tcPr>
          <w:p w14:paraId="458CC340">
            <w:pPr>
              <w:widowControl w:val="0"/>
              <w:suppressLineNumbers/>
              <w:suppressAutoHyphens/>
              <w:jc w:val="center"/>
              <w:rPr>
                <w:rFonts w:ascii="Times New Roman" w:hAnsi="Times New Roman" w:cs="Times New Roman"/>
                <w:sz w:val="20"/>
                <w:szCs w:val="20"/>
              </w:rPr>
            </w:pPr>
            <w:r>
              <w:rPr>
                <w:rFonts w:ascii="Times New Roman" w:hAnsi="Times New Roman" w:cs="Times New Roman"/>
                <w:b/>
                <w:bCs/>
                <w:sz w:val="20"/>
                <w:szCs w:val="20"/>
              </w:rPr>
              <w:t>Модульна контрольна робота</w:t>
            </w:r>
          </w:p>
        </w:tc>
        <w:tc>
          <w:tcPr>
            <w:tcW w:w="1060" w:type="dxa"/>
            <w:gridSpan w:val="2"/>
            <w:tcBorders>
              <w:top w:val="single" w:color="000000" w:sz="4" w:space="0"/>
              <w:left w:val="single" w:color="000000" w:sz="4" w:space="0"/>
              <w:bottom w:val="single" w:color="000000" w:sz="4" w:space="0"/>
            </w:tcBorders>
          </w:tcPr>
          <w:p w14:paraId="442B40AC">
            <w:pPr>
              <w:widowControl w:val="0"/>
              <w:suppressLineNumbers/>
              <w:suppressAutoHyphens/>
              <w:rPr>
                <w:rFonts w:ascii="Times New Roman" w:hAnsi="Times New Roman" w:cs="Times New Roman"/>
                <w:sz w:val="20"/>
                <w:szCs w:val="20"/>
              </w:rPr>
            </w:pPr>
            <w:r>
              <w:rPr>
                <w:rFonts w:ascii="Times New Roman" w:hAnsi="Times New Roman" w:cs="Times New Roman"/>
                <w:b/>
                <w:bCs/>
                <w:sz w:val="20"/>
                <w:szCs w:val="20"/>
              </w:rPr>
              <w:t>Екзамен</w:t>
            </w:r>
          </w:p>
        </w:tc>
        <w:tc>
          <w:tcPr>
            <w:tcW w:w="1013" w:type="dxa"/>
            <w:tcBorders>
              <w:top w:val="single" w:color="000000" w:sz="4" w:space="0"/>
              <w:left w:val="single" w:color="000000" w:sz="4" w:space="0"/>
              <w:bottom w:val="single" w:color="000000" w:sz="4" w:space="0"/>
              <w:right w:val="single" w:color="000000" w:sz="4" w:space="0"/>
            </w:tcBorders>
          </w:tcPr>
          <w:p w14:paraId="4A5CD8D5">
            <w:pPr>
              <w:widowControl w:val="0"/>
              <w:suppressLineNumbers/>
              <w:suppressAutoHyphens/>
              <w:rPr>
                <w:rFonts w:ascii="Times New Roman" w:hAnsi="Times New Roman" w:cs="Times New Roman"/>
                <w:sz w:val="20"/>
                <w:szCs w:val="20"/>
              </w:rPr>
            </w:pPr>
            <w:r>
              <w:rPr>
                <w:rFonts w:ascii="Times New Roman" w:hAnsi="Times New Roman" w:cs="Times New Roman"/>
                <w:b/>
                <w:bCs/>
                <w:sz w:val="20"/>
                <w:szCs w:val="20"/>
              </w:rPr>
              <w:t>Загальна кількість балів</w:t>
            </w:r>
          </w:p>
        </w:tc>
      </w:tr>
      <w:tr w14:paraId="783A653D">
        <w:tblPrEx>
          <w:tblCellMar>
            <w:top w:w="55" w:type="dxa"/>
            <w:left w:w="55" w:type="dxa"/>
            <w:bottom w:w="55" w:type="dxa"/>
            <w:right w:w="55" w:type="dxa"/>
          </w:tblCellMar>
        </w:tblPrEx>
        <w:trPr>
          <w:cantSplit/>
          <w:trHeight w:val="1153" w:hRule="atLeast"/>
        </w:trPr>
        <w:tc>
          <w:tcPr>
            <w:tcW w:w="1107" w:type="dxa"/>
            <w:tcBorders>
              <w:left w:val="single" w:color="000000" w:sz="4" w:space="0"/>
              <w:bottom w:val="single" w:color="000000" w:sz="4" w:space="0"/>
            </w:tcBorders>
          </w:tcPr>
          <w:p w14:paraId="33C997FA">
            <w:pPr>
              <w:widowControl w:val="0"/>
              <w:suppressLineNumbers/>
              <w:suppressAutoHyphens/>
              <w:snapToGrid w:val="0"/>
              <w:rPr>
                <w:rFonts w:ascii="Times New Roman" w:hAnsi="Times New Roman" w:cs="Times New Roman"/>
                <w:sz w:val="20"/>
                <w:szCs w:val="20"/>
              </w:rPr>
            </w:pPr>
            <w:r>
              <w:rPr>
                <w:rFonts w:ascii="Times New Roman" w:hAnsi="Times New Roman" w:cs="Times New Roman"/>
                <w:sz w:val="20"/>
                <w:szCs w:val="20"/>
              </w:rPr>
              <w:t>Теми</w:t>
            </w:r>
          </w:p>
        </w:tc>
        <w:tc>
          <w:tcPr>
            <w:tcW w:w="392" w:type="dxa"/>
            <w:tcBorders>
              <w:left w:val="single" w:color="000000" w:sz="4" w:space="0"/>
              <w:bottom w:val="single" w:color="000000" w:sz="4" w:space="0"/>
            </w:tcBorders>
            <w:textDirection w:val="btLr"/>
          </w:tcPr>
          <w:p w14:paraId="57D820F2">
            <w:pPr>
              <w:widowControl w:val="0"/>
              <w:suppressLineNumbers/>
              <w:suppressAutoHyphens/>
              <w:jc w:val="center"/>
              <w:rPr>
                <w:rFonts w:ascii="Times New Roman" w:hAnsi="Times New Roman" w:cs="Times New Roman"/>
                <w:szCs w:val="20"/>
              </w:rPr>
            </w:pPr>
            <w:r>
              <w:rPr>
                <w:rFonts w:ascii="Times New Roman" w:hAnsi="Times New Roman" w:cs="Times New Roman"/>
                <w:szCs w:val="20"/>
              </w:rPr>
              <w:t>Тема 1</w:t>
            </w:r>
          </w:p>
        </w:tc>
        <w:tc>
          <w:tcPr>
            <w:tcW w:w="486" w:type="dxa"/>
            <w:tcBorders>
              <w:left w:val="single" w:color="000000" w:sz="4" w:space="0"/>
              <w:bottom w:val="single" w:color="000000" w:sz="4" w:space="0"/>
            </w:tcBorders>
            <w:textDirection w:val="btLr"/>
          </w:tcPr>
          <w:p w14:paraId="1974B690">
            <w:pPr>
              <w:jc w:val="center"/>
              <w:rPr>
                <w:rFonts w:ascii="Times New Roman" w:hAnsi="Times New Roman" w:eastAsia="Calibri" w:cs="Times New Roman"/>
              </w:rPr>
            </w:pPr>
            <w:r>
              <w:rPr>
                <w:rFonts w:ascii="Times New Roman" w:hAnsi="Times New Roman" w:eastAsia="Calibri" w:cs="Times New Roman"/>
              </w:rPr>
              <w:t>Тема 2</w:t>
            </w:r>
          </w:p>
        </w:tc>
        <w:tc>
          <w:tcPr>
            <w:tcW w:w="425" w:type="dxa"/>
            <w:tcBorders>
              <w:left w:val="single" w:color="000000" w:sz="4" w:space="0"/>
              <w:bottom w:val="single" w:color="000000" w:sz="4" w:space="0"/>
            </w:tcBorders>
            <w:textDirection w:val="btLr"/>
          </w:tcPr>
          <w:p w14:paraId="2D8C7334">
            <w:pPr>
              <w:jc w:val="center"/>
              <w:rPr>
                <w:rFonts w:ascii="Times New Roman" w:hAnsi="Times New Roman" w:eastAsia="Calibri" w:cs="Times New Roman"/>
              </w:rPr>
            </w:pPr>
            <w:r>
              <w:rPr>
                <w:rFonts w:ascii="Times New Roman" w:hAnsi="Times New Roman" w:eastAsia="Calibri" w:cs="Times New Roman"/>
              </w:rPr>
              <w:t>Тема 3</w:t>
            </w:r>
          </w:p>
        </w:tc>
        <w:tc>
          <w:tcPr>
            <w:tcW w:w="567" w:type="dxa"/>
            <w:tcBorders>
              <w:left w:val="single" w:color="000000" w:sz="4" w:space="0"/>
              <w:bottom w:val="single" w:color="000000" w:sz="4" w:space="0"/>
            </w:tcBorders>
            <w:textDirection w:val="btLr"/>
          </w:tcPr>
          <w:p w14:paraId="002C50E9">
            <w:pPr>
              <w:jc w:val="center"/>
              <w:rPr>
                <w:rFonts w:ascii="Times New Roman" w:hAnsi="Times New Roman" w:eastAsia="Calibri" w:cs="Times New Roman"/>
              </w:rPr>
            </w:pPr>
            <w:r>
              <w:rPr>
                <w:rFonts w:ascii="Times New Roman" w:hAnsi="Times New Roman" w:eastAsia="Calibri" w:cs="Times New Roman"/>
              </w:rPr>
              <w:t>Тема 4</w:t>
            </w:r>
          </w:p>
        </w:tc>
        <w:tc>
          <w:tcPr>
            <w:tcW w:w="567" w:type="dxa"/>
            <w:tcBorders>
              <w:left w:val="single" w:color="000000" w:sz="4" w:space="0"/>
              <w:bottom w:val="single" w:color="000000" w:sz="4" w:space="0"/>
            </w:tcBorders>
            <w:textDirection w:val="btLr"/>
          </w:tcPr>
          <w:p w14:paraId="3F28A4E8">
            <w:pPr>
              <w:jc w:val="center"/>
              <w:rPr>
                <w:rFonts w:ascii="Times New Roman" w:hAnsi="Times New Roman" w:eastAsia="Calibri" w:cs="Times New Roman"/>
              </w:rPr>
            </w:pPr>
            <w:r>
              <w:rPr>
                <w:rFonts w:ascii="Times New Roman" w:hAnsi="Times New Roman" w:eastAsia="Calibri" w:cs="Times New Roman"/>
              </w:rPr>
              <w:t>Тема 5</w:t>
            </w:r>
          </w:p>
        </w:tc>
        <w:tc>
          <w:tcPr>
            <w:tcW w:w="425" w:type="dxa"/>
            <w:tcBorders>
              <w:left w:val="single" w:color="000000" w:sz="4" w:space="0"/>
              <w:bottom w:val="single" w:color="000000" w:sz="4" w:space="0"/>
            </w:tcBorders>
            <w:textDirection w:val="btLr"/>
          </w:tcPr>
          <w:p w14:paraId="154B1CD8">
            <w:pPr>
              <w:jc w:val="center"/>
              <w:rPr>
                <w:rFonts w:ascii="Times New Roman" w:hAnsi="Times New Roman" w:eastAsia="Calibri" w:cs="Times New Roman"/>
              </w:rPr>
            </w:pPr>
            <w:r>
              <w:rPr>
                <w:rFonts w:ascii="Times New Roman" w:hAnsi="Times New Roman" w:eastAsia="Calibri" w:cs="Times New Roman"/>
              </w:rPr>
              <w:t>Тема 6</w:t>
            </w:r>
          </w:p>
        </w:tc>
        <w:tc>
          <w:tcPr>
            <w:tcW w:w="567" w:type="dxa"/>
            <w:tcBorders>
              <w:left w:val="single" w:color="000000" w:sz="4" w:space="0"/>
              <w:bottom w:val="single" w:color="000000" w:sz="4" w:space="0"/>
            </w:tcBorders>
            <w:textDirection w:val="btLr"/>
          </w:tcPr>
          <w:p w14:paraId="7D9E540B">
            <w:pPr>
              <w:jc w:val="center"/>
              <w:rPr>
                <w:rFonts w:ascii="Times New Roman" w:hAnsi="Times New Roman" w:eastAsia="Calibri" w:cs="Times New Roman"/>
              </w:rPr>
            </w:pPr>
            <w:r>
              <w:rPr>
                <w:rFonts w:ascii="Times New Roman" w:hAnsi="Times New Roman" w:eastAsia="Calibri" w:cs="Times New Roman"/>
              </w:rPr>
              <w:t>Тема 7</w:t>
            </w:r>
          </w:p>
        </w:tc>
        <w:tc>
          <w:tcPr>
            <w:tcW w:w="709" w:type="dxa"/>
            <w:tcBorders>
              <w:left w:val="single" w:color="000000" w:sz="4" w:space="0"/>
              <w:bottom w:val="single" w:color="000000" w:sz="4" w:space="0"/>
            </w:tcBorders>
            <w:textDirection w:val="btLr"/>
          </w:tcPr>
          <w:p w14:paraId="3E0B386F">
            <w:pPr>
              <w:jc w:val="center"/>
              <w:rPr>
                <w:rFonts w:ascii="Times New Roman" w:hAnsi="Times New Roman" w:eastAsia="Calibri" w:cs="Times New Roman"/>
              </w:rPr>
            </w:pPr>
            <w:r>
              <w:rPr>
                <w:rFonts w:ascii="Times New Roman" w:hAnsi="Times New Roman" w:eastAsia="Calibri" w:cs="Times New Roman"/>
              </w:rPr>
              <w:t>Тема 8</w:t>
            </w:r>
          </w:p>
        </w:tc>
        <w:tc>
          <w:tcPr>
            <w:tcW w:w="567" w:type="dxa"/>
            <w:tcBorders>
              <w:left w:val="single" w:color="000000" w:sz="4" w:space="0"/>
              <w:bottom w:val="single" w:color="000000" w:sz="4" w:space="0"/>
              <w:right w:val="single" w:color="auto" w:sz="4" w:space="0"/>
            </w:tcBorders>
            <w:textDirection w:val="btLr"/>
          </w:tcPr>
          <w:p w14:paraId="4F80DFB4">
            <w:pPr>
              <w:jc w:val="center"/>
              <w:rPr>
                <w:rFonts w:ascii="Times New Roman" w:hAnsi="Times New Roman" w:eastAsia="Calibri" w:cs="Times New Roman"/>
              </w:rPr>
            </w:pPr>
            <w:r>
              <w:rPr>
                <w:rFonts w:ascii="Times New Roman" w:hAnsi="Times New Roman" w:eastAsia="Calibri" w:cs="Times New Roman"/>
              </w:rPr>
              <w:t>Тема 9</w:t>
            </w:r>
          </w:p>
        </w:tc>
        <w:tc>
          <w:tcPr>
            <w:tcW w:w="713" w:type="dxa"/>
            <w:tcBorders>
              <w:left w:val="single" w:color="auto" w:sz="4" w:space="0"/>
              <w:bottom w:val="single" w:color="000000" w:sz="4" w:space="0"/>
              <w:right w:val="single" w:color="000000" w:sz="4" w:space="0"/>
            </w:tcBorders>
            <w:textDirection w:val="btLr"/>
          </w:tcPr>
          <w:p w14:paraId="5BF86FA5">
            <w:pPr>
              <w:snapToGrid w:val="0"/>
              <w:jc w:val="center"/>
              <w:rPr>
                <w:rFonts w:ascii="Times New Roman" w:hAnsi="Times New Roman" w:eastAsia="Calibri" w:cs="Times New Roman"/>
              </w:rPr>
            </w:pPr>
            <w:r>
              <w:rPr>
                <w:rFonts w:ascii="Times New Roman" w:hAnsi="Times New Roman" w:eastAsia="Calibri" w:cs="Times New Roman"/>
              </w:rPr>
              <w:t>Тема 10</w:t>
            </w:r>
          </w:p>
        </w:tc>
        <w:tc>
          <w:tcPr>
            <w:tcW w:w="1272" w:type="dxa"/>
            <w:gridSpan w:val="2"/>
            <w:vMerge w:val="restart"/>
            <w:tcBorders>
              <w:left w:val="single" w:color="000000" w:sz="4" w:space="0"/>
            </w:tcBorders>
          </w:tcPr>
          <w:p w14:paraId="64DFF9CF">
            <w:pPr>
              <w:snapToGrid w:val="0"/>
              <w:jc w:val="center"/>
              <w:rPr>
                <w:rFonts w:ascii="Times New Roman" w:hAnsi="Times New Roman" w:eastAsia="Calibri" w:cs="Times New Roman"/>
              </w:rPr>
            </w:pPr>
          </w:p>
          <w:p w14:paraId="7F7F777A">
            <w:pPr>
              <w:snapToGrid w:val="0"/>
              <w:jc w:val="center"/>
              <w:rPr>
                <w:rFonts w:ascii="Times New Roman" w:hAnsi="Times New Roman" w:eastAsia="Calibri" w:cs="Times New Roman"/>
              </w:rPr>
            </w:pPr>
          </w:p>
          <w:p w14:paraId="58177822">
            <w:pPr>
              <w:snapToGrid w:val="0"/>
              <w:jc w:val="center"/>
              <w:rPr>
                <w:rFonts w:ascii="Times New Roman" w:hAnsi="Times New Roman" w:eastAsia="Calibri" w:cs="Times New Roman"/>
              </w:rPr>
            </w:pPr>
            <w:r>
              <w:rPr>
                <w:rFonts w:ascii="Times New Roman" w:hAnsi="Times New Roman" w:eastAsia="Calibri" w:cs="Times New Roman"/>
              </w:rPr>
              <w:t>20</w:t>
            </w:r>
          </w:p>
        </w:tc>
        <w:tc>
          <w:tcPr>
            <w:tcW w:w="1052" w:type="dxa"/>
            <w:vMerge w:val="restart"/>
            <w:tcBorders>
              <w:left w:val="single" w:color="000000" w:sz="4" w:space="0"/>
            </w:tcBorders>
          </w:tcPr>
          <w:p w14:paraId="6CB82634">
            <w:pPr>
              <w:widowControl w:val="0"/>
              <w:suppressLineNumbers/>
              <w:suppressAutoHyphens/>
              <w:snapToGrid w:val="0"/>
              <w:jc w:val="center"/>
              <w:rPr>
                <w:rFonts w:ascii="Times New Roman" w:hAnsi="Times New Roman" w:cs="Times New Roman"/>
              </w:rPr>
            </w:pPr>
          </w:p>
          <w:p w14:paraId="306A163A">
            <w:pPr>
              <w:widowControl w:val="0"/>
              <w:suppressLineNumbers/>
              <w:suppressAutoHyphens/>
              <w:snapToGrid w:val="0"/>
              <w:jc w:val="center"/>
              <w:rPr>
                <w:rFonts w:ascii="Times New Roman" w:hAnsi="Times New Roman" w:cs="Times New Roman"/>
              </w:rPr>
            </w:pPr>
          </w:p>
          <w:p w14:paraId="15CC484A">
            <w:pPr>
              <w:widowControl w:val="0"/>
              <w:suppressLineNumbers/>
              <w:suppressAutoHyphens/>
              <w:snapToGrid w:val="0"/>
              <w:jc w:val="center"/>
              <w:rPr>
                <w:rFonts w:ascii="Times New Roman" w:hAnsi="Times New Roman" w:cs="Times New Roman"/>
              </w:rPr>
            </w:pPr>
            <w:r>
              <w:rPr>
                <w:rFonts w:hint="default" w:ascii="Times New Roman" w:hAnsi="Times New Roman" w:cs="Times New Roman"/>
                <w:lang w:val="uk-UA"/>
              </w:rPr>
              <w:t>4</w:t>
            </w:r>
            <w:r>
              <w:rPr>
                <w:rFonts w:ascii="Times New Roman" w:hAnsi="Times New Roman" w:cs="Times New Roman"/>
              </w:rPr>
              <w:t>0</w:t>
            </w:r>
          </w:p>
        </w:tc>
        <w:tc>
          <w:tcPr>
            <w:tcW w:w="1021" w:type="dxa"/>
            <w:gridSpan w:val="2"/>
            <w:vMerge w:val="restart"/>
            <w:tcBorders>
              <w:left w:val="single" w:color="000000" w:sz="4" w:space="0"/>
              <w:right w:val="single" w:color="000000" w:sz="4" w:space="0"/>
            </w:tcBorders>
          </w:tcPr>
          <w:p w14:paraId="58FE0936">
            <w:pPr>
              <w:widowControl w:val="0"/>
              <w:suppressLineNumbers/>
              <w:suppressAutoHyphens/>
              <w:snapToGrid w:val="0"/>
              <w:jc w:val="center"/>
              <w:rPr>
                <w:rFonts w:ascii="Times New Roman" w:hAnsi="Times New Roman" w:cs="Times New Roman"/>
              </w:rPr>
            </w:pPr>
          </w:p>
          <w:p w14:paraId="24B43DA7">
            <w:pPr>
              <w:widowControl w:val="0"/>
              <w:suppressLineNumbers/>
              <w:suppressAutoHyphens/>
              <w:snapToGrid w:val="0"/>
              <w:rPr>
                <w:rFonts w:ascii="Times New Roman" w:hAnsi="Times New Roman" w:cs="Times New Roman"/>
              </w:rPr>
            </w:pPr>
          </w:p>
          <w:p w14:paraId="31ADEBC3">
            <w:pPr>
              <w:widowControl w:val="0"/>
              <w:suppressLineNumbers/>
              <w:suppressAutoHyphens/>
              <w:snapToGrid w:val="0"/>
              <w:jc w:val="center"/>
              <w:rPr>
                <w:rFonts w:ascii="Times New Roman" w:hAnsi="Times New Roman" w:cs="Times New Roman"/>
              </w:rPr>
            </w:pPr>
            <w:r>
              <w:rPr>
                <w:rFonts w:ascii="Times New Roman" w:hAnsi="Times New Roman" w:cs="Times New Roman"/>
              </w:rPr>
              <w:t>100</w:t>
            </w:r>
          </w:p>
        </w:tc>
      </w:tr>
      <w:tr w14:paraId="3BB00E73">
        <w:tblPrEx>
          <w:tblCellMar>
            <w:top w:w="55" w:type="dxa"/>
            <w:left w:w="55" w:type="dxa"/>
            <w:bottom w:w="55" w:type="dxa"/>
            <w:right w:w="55" w:type="dxa"/>
          </w:tblCellMar>
        </w:tblPrEx>
        <w:trPr>
          <w:trHeight w:val="666" w:hRule="atLeast"/>
        </w:trPr>
        <w:tc>
          <w:tcPr>
            <w:tcW w:w="1107" w:type="dxa"/>
            <w:tcBorders>
              <w:left w:val="single" w:color="000000" w:sz="4" w:space="0"/>
              <w:bottom w:val="single" w:color="000000" w:sz="4" w:space="0"/>
            </w:tcBorders>
          </w:tcPr>
          <w:p w14:paraId="734AC759">
            <w:pPr>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Робота на семінарському занятті</w:t>
            </w:r>
          </w:p>
        </w:tc>
        <w:tc>
          <w:tcPr>
            <w:tcW w:w="392" w:type="dxa"/>
            <w:tcBorders>
              <w:left w:val="single" w:color="000000" w:sz="4" w:space="0"/>
              <w:bottom w:val="single" w:color="000000" w:sz="4" w:space="0"/>
              <w:right w:val="single" w:color="auto" w:sz="4" w:space="0"/>
            </w:tcBorders>
            <w:vAlign w:val="top"/>
          </w:tcPr>
          <w:p w14:paraId="16CE9AA5">
            <w:pPr>
              <w:widowControl w:val="0"/>
              <w:suppressLineNumbers/>
              <w:suppressAutoHyphens/>
              <w:snapToGrid w:val="0"/>
              <w:jc w:val="center"/>
              <w:rPr>
                <w:rFonts w:ascii="Times New Roman" w:hAnsi="Times New Roman" w:cs="Times New Roman"/>
              </w:rPr>
            </w:pPr>
            <w:r>
              <w:rPr>
                <w:rFonts w:ascii="Times New Roman" w:hAnsi="Times New Roman" w:cs="Times New Roman"/>
              </w:rPr>
              <w:t>3</w:t>
            </w:r>
          </w:p>
        </w:tc>
        <w:tc>
          <w:tcPr>
            <w:tcW w:w="486" w:type="dxa"/>
            <w:tcBorders>
              <w:left w:val="single" w:color="auto" w:sz="4" w:space="0"/>
              <w:bottom w:val="single" w:color="000000" w:sz="4" w:space="0"/>
            </w:tcBorders>
            <w:vAlign w:val="top"/>
          </w:tcPr>
          <w:p w14:paraId="0F0F626B">
            <w:pPr>
              <w:snapToGrid w:val="0"/>
              <w:jc w:val="center"/>
              <w:rPr>
                <w:rFonts w:ascii="Times New Roman" w:hAnsi="Times New Roman" w:cs="Times New Roman"/>
              </w:rPr>
            </w:pPr>
            <w:r>
              <w:rPr>
                <w:rFonts w:ascii="Times New Roman" w:hAnsi="Times New Roman" w:eastAsia="Calibri" w:cs="Times New Roman"/>
              </w:rPr>
              <w:t>3</w:t>
            </w:r>
          </w:p>
        </w:tc>
        <w:tc>
          <w:tcPr>
            <w:tcW w:w="425" w:type="dxa"/>
            <w:tcBorders>
              <w:left w:val="single" w:color="000000" w:sz="4" w:space="0"/>
              <w:bottom w:val="single" w:color="000000" w:sz="4" w:space="0"/>
              <w:right w:val="single" w:color="auto" w:sz="4" w:space="0"/>
            </w:tcBorders>
            <w:vAlign w:val="top"/>
          </w:tcPr>
          <w:p w14:paraId="5C3F585E">
            <w:pPr>
              <w:snapToGrid w:val="0"/>
              <w:jc w:val="center"/>
              <w:rPr>
                <w:rFonts w:ascii="Times New Roman" w:hAnsi="Times New Roman" w:eastAsia="Calibri" w:cs="Times New Roman"/>
              </w:rPr>
            </w:pPr>
            <w:r>
              <w:rPr>
                <w:rFonts w:ascii="Times New Roman" w:hAnsi="Times New Roman" w:eastAsia="Calibri" w:cs="Times New Roman"/>
              </w:rPr>
              <w:t>3</w:t>
            </w:r>
          </w:p>
        </w:tc>
        <w:tc>
          <w:tcPr>
            <w:tcW w:w="567" w:type="dxa"/>
            <w:tcBorders>
              <w:left w:val="single" w:color="auto" w:sz="4" w:space="0"/>
              <w:bottom w:val="single" w:color="000000" w:sz="4" w:space="0"/>
            </w:tcBorders>
            <w:vAlign w:val="top"/>
          </w:tcPr>
          <w:p w14:paraId="052E0284">
            <w:pPr>
              <w:snapToGrid w:val="0"/>
              <w:jc w:val="center"/>
              <w:rPr>
                <w:rFonts w:ascii="Times New Roman" w:hAnsi="Times New Roman" w:eastAsia="Calibri" w:cs="Times New Roman"/>
              </w:rPr>
            </w:pPr>
            <w:r>
              <w:rPr>
                <w:rFonts w:ascii="Times New Roman" w:hAnsi="Times New Roman" w:eastAsia="Calibri" w:cs="Times New Roman"/>
              </w:rPr>
              <w:t>3</w:t>
            </w:r>
          </w:p>
        </w:tc>
        <w:tc>
          <w:tcPr>
            <w:tcW w:w="567" w:type="dxa"/>
            <w:tcBorders>
              <w:left w:val="single" w:color="000000" w:sz="4" w:space="0"/>
              <w:bottom w:val="single" w:color="000000" w:sz="4" w:space="0"/>
            </w:tcBorders>
            <w:vAlign w:val="top"/>
          </w:tcPr>
          <w:p w14:paraId="512338CD">
            <w:pPr>
              <w:snapToGrid w:val="0"/>
              <w:jc w:val="center"/>
              <w:rPr>
                <w:rFonts w:ascii="Times New Roman" w:hAnsi="Times New Roman" w:eastAsia="Calibri" w:cs="Times New Roman"/>
              </w:rPr>
            </w:pPr>
            <w:r>
              <w:rPr>
                <w:rFonts w:ascii="Times New Roman" w:hAnsi="Times New Roman" w:eastAsia="Calibri" w:cs="Times New Roman"/>
              </w:rPr>
              <w:t>3</w:t>
            </w:r>
          </w:p>
        </w:tc>
        <w:tc>
          <w:tcPr>
            <w:tcW w:w="425" w:type="dxa"/>
            <w:tcBorders>
              <w:left w:val="single" w:color="000000" w:sz="4" w:space="0"/>
              <w:bottom w:val="single" w:color="000000" w:sz="4" w:space="0"/>
              <w:right w:val="single" w:color="auto" w:sz="4" w:space="0"/>
            </w:tcBorders>
            <w:vAlign w:val="top"/>
          </w:tcPr>
          <w:p w14:paraId="4F46E8D0">
            <w:pPr>
              <w:snapToGrid w:val="0"/>
              <w:jc w:val="center"/>
              <w:rPr>
                <w:rFonts w:ascii="Times New Roman" w:hAnsi="Times New Roman" w:eastAsia="Calibri" w:cs="Times New Roman"/>
              </w:rPr>
            </w:pPr>
            <w:r>
              <w:rPr>
                <w:rFonts w:ascii="Times New Roman" w:hAnsi="Times New Roman" w:eastAsia="Calibri" w:cs="Times New Roman"/>
              </w:rPr>
              <w:t>3</w:t>
            </w:r>
          </w:p>
        </w:tc>
        <w:tc>
          <w:tcPr>
            <w:tcW w:w="567" w:type="dxa"/>
            <w:tcBorders>
              <w:left w:val="single" w:color="auto" w:sz="4" w:space="0"/>
              <w:bottom w:val="single" w:color="000000" w:sz="4" w:space="0"/>
            </w:tcBorders>
            <w:vAlign w:val="top"/>
          </w:tcPr>
          <w:p w14:paraId="6E5E5351">
            <w:pPr>
              <w:snapToGrid w:val="0"/>
              <w:jc w:val="center"/>
              <w:rPr>
                <w:rFonts w:ascii="Times New Roman" w:hAnsi="Times New Roman" w:eastAsia="Calibri" w:cs="Times New Roman"/>
              </w:rPr>
            </w:pPr>
            <w:r>
              <w:rPr>
                <w:rFonts w:ascii="Times New Roman" w:hAnsi="Times New Roman" w:eastAsia="Calibri" w:cs="Times New Roman"/>
              </w:rPr>
              <w:t>3</w:t>
            </w:r>
          </w:p>
        </w:tc>
        <w:tc>
          <w:tcPr>
            <w:tcW w:w="709" w:type="dxa"/>
            <w:tcBorders>
              <w:left w:val="single" w:color="000000" w:sz="4" w:space="0"/>
              <w:bottom w:val="single" w:color="000000" w:sz="4" w:space="0"/>
            </w:tcBorders>
            <w:vAlign w:val="top"/>
          </w:tcPr>
          <w:p w14:paraId="33AF4FE0">
            <w:pPr>
              <w:snapToGrid w:val="0"/>
              <w:jc w:val="center"/>
              <w:rPr>
                <w:rFonts w:ascii="Times New Roman" w:hAnsi="Times New Roman" w:eastAsia="Calibri" w:cs="Times New Roman"/>
              </w:rPr>
            </w:pPr>
            <w:r>
              <w:rPr>
                <w:rFonts w:ascii="Times New Roman" w:hAnsi="Times New Roman" w:eastAsia="Calibri" w:cs="Times New Roman"/>
              </w:rPr>
              <w:t>3</w:t>
            </w:r>
          </w:p>
        </w:tc>
        <w:tc>
          <w:tcPr>
            <w:tcW w:w="567" w:type="dxa"/>
            <w:tcBorders>
              <w:left w:val="single" w:color="000000" w:sz="4" w:space="0"/>
              <w:bottom w:val="single" w:color="000000" w:sz="4" w:space="0"/>
              <w:right w:val="single" w:color="auto" w:sz="4" w:space="0"/>
            </w:tcBorders>
            <w:vAlign w:val="top"/>
          </w:tcPr>
          <w:p w14:paraId="67980B2E">
            <w:pPr>
              <w:snapToGrid w:val="0"/>
              <w:jc w:val="center"/>
              <w:rPr>
                <w:rFonts w:ascii="Times New Roman" w:hAnsi="Times New Roman" w:eastAsia="Calibri" w:cs="Times New Roman"/>
              </w:rPr>
            </w:pPr>
            <w:r>
              <w:rPr>
                <w:rFonts w:ascii="Times New Roman" w:hAnsi="Times New Roman" w:eastAsia="Calibri" w:cs="Times New Roman"/>
              </w:rPr>
              <w:t>3</w:t>
            </w:r>
          </w:p>
        </w:tc>
        <w:tc>
          <w:tcPr>
            <w:tcW w:w="713" w:type="dxa"/>
            <w:tcBorders>
              <w:left w:val="single" w:color="auto" w:sz="4" w:space="0"/>
              <w:bottom w:val="single" w:color="auto" w:sz="4" w:space="0"/>
              <w:right w:val="single" w:color="000000" w:sz="4" w:space="0"/>
            </w:tcBorders>
            <w:vAlign w:val="top"/>
          </w:tcPr>
          <w:p w14:paraId="695E372B">
            <w:pPr>
              <w:snapToGrid w:val="0"/>
              <w:jc w:val="center"/>
              <w:rPr>
                <w:rFonts w:ascii="Times New Roman" w:hAnsi="Times New Roman" w:eastAsia="Calibri" w:cs="Times New Roman"/>
              </w:rPr>
            </w:pPr>
            <w:r>
              <w:rPr>
                <w:rFonts w:ascii="Times New Roman" w:hAnsi="Times New Roman" w:eastAsia="Calibri" w:cs="Times New Roman"/>
              </w:rPr>
              <w:t>3</w:t>
            </w:r>
          </w:p>
        </w:tc>
        <w:tc>
          <w:tcPr>
            <w:tcW w:w="1272" w:type="dxa"/>
            <w:gridSpan w:val="2"/>
            <w:vMerge w:val="continue"/>
            <w:tcBorders>
              <w:left w:val="single" w:color="000000" w:sz="4" w:space="0"/>
            </w:tcBorders>
          </w:tcPr>
          <w:p w14:paraId="5E776AE0">
            <w:pPr>
              <w:snapToGrid w:val="0"/>
              <w:jc w:val="center"/>
              <w:rPr>
                <w:rFonts w:ascii="Times New Roman" w:hAnsi="Times New Roman" w:eastAsia="Calibri" w:cs="Times New Roman"/>
              </w:rPr>
            </w:pPr>
          </w:p>
        </w:tc>
        <w:tc>
          <w:tcPr>
            <w:tcW w:w="1052" w:type="dxa"/>
            <w:vMerge w:val="continue"/>
            <w:tcBorders>
              <w:left w:val="single" w:color="000000" w:sz="4" w:space="0"/>
            </w:tcBorders>
          </w:tcPr>
          <w:p w14:paraId="264BEFB0">
            <w:pPr>
              <w:widowControl w:val="0"/>
              <w:suppressLineNumbers/>
              <w:suppressAutoHyphens/>
              <w:snapToGrid w:val="0"/>
              <w:jc w:val="center"/>
              <w:rPr>
                <w:rFonts w:ascii="Times New Roman" w:hAnsi="Times New Roman" w:cs="Times New Roman"/>
                <w:sz w:val="20"/>
                <w:szCs w:val="20"/>
              </w:rPr>
            </w:pPr>
          </w:p>
        </w:tc>
        <w:tc>
          <w:tcPr>
            <w:tcW w:w="1021" w:type="dxa"/>
            <w:gridSpan w:val="2"/>
            <w:vMerge w:val="continue"/>
            <w:tcBorders>
              <w:left w:val="single" w:color="000000" w:sz="4" w:space="0"/>
              <w:right w:val="single" w:color="000000" w:sz="4" w:space="0"/>
            </w:tcBorders>
          </w:tcPr>
          <w:p w14:paraId="4A370462">
            <w:pPr>
              <w:widowControl w:val="0"/>
              <w:suppressLineNumbers/>
              <w:suppressAutoHyphens/>
              <w:snapToGrid w:val="0"/>
              <w:jc w:val="center"/>
              <w:rPr>
                <w:rFonts w:ascii="Times New Roman" w:hAnsi="Times New Roman" w:cs="Times New Roman"/>
                <w:sz w:val="20"/>
                <w:szCs w:val="20"/>
              </w:rPr>
            </w:pPr>
          </w:p>
        </w:tc>
      </w:tr>
      <w:tr w14:paraId="76F2774D">
        <w:tblPrEx>
          <w:tblCellMar>
            <w:top w:w="55" w:type="dxa"/>
            <w:left w:w="55" w:type="dxa"/>
            <w:bottom w:w="55" w:type="dxa"/>
            <w:right w:w="55" w:type="dxa"/>
          </w:tblCellMar>
        </w:tblPrEx>
        <w:trPr>
          <w:trHeight w:val="442" w:hRule="atLeast"/>
        </w:trPr>
        <w:tc>
          <w:tcPr>
            <w:tcW w:w="1107" w:type="dxa"/>
            <w:tcBorders>
              <w:left w:val="single" w:color="000000" w:sz="4" w:space="0"/>
              <w:bottom w:val="single" w:color="000000" w:sz="4" w:space="0"/>
            </w:tcBorders>
          </w:tcPr>
          <w:p w14:paraId="6C272C5D">
            <w:pPr>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Самостійна робота</w:t>
            </w:r>
          </w:p>
        </w:tc>
        <w:tc>
          <w:tcPr>
            <w:tcW w:w="392" w:type="dxa"/>
            <w:tcBorders>
              <w:left w:val="single" w:color="000000" w:sz="4" w:space="0"/>
              <w:bottom w:val="single" w:color="000000" w:sz="4" w:space="0"/>
            </w:tcBorders>
          </w:tcPr>
          <w:p w14:paraId="35DDDCC7">
            <w:pPr>
              <w:widowControl w:val="0"/>
              <w:suppressLineNumbers/>
              <w:suppressAutoHyphens/>
              <w:snapToGrid w:val="0"/>
              <w:jc w:val="center"/>
              <w:rPr>
                <w:rFonts w:hint="default" w:ascii="Times New Roman" w:hAnsi="Times New Roman" w:cs="Times New Roman"/>
                <w:lang w:val="uk-UA"/>
              </w:rPr>
            </w:pPr>
            <w:r>
              <w:rPr>
                <w:rFonts w:hint="default" w:ascii="Times New Roman" w:hAnsi="Times New Roman" w:cs="Times New Roman"/>
                <w:lang w:val="uk-UA"/>
              </w:rPr>
              <w:t>1</w:t>
            </w:r>
          </w:p>
        </w:tc>
        <w:tc>
          <w:tcPr>
            <w:tcW w:w="486" w:type="dxa"/>
            <w:tcBorders>
              <w:left w:val="single" w:color="000000" w:sz="4" w:space="0"/>
              <w:bottom w:val="single" w:color="000000" w:sz="4" w:space="0"/>
            </w:tcBorders>
          </w:tcPr>
          <w:p w14:paraId="1B6B94D6">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425" w:type="dxa"/>
            <w:tcBorders>
              <w:left w:val="single" w:color="000000" w:sz="4" w:space="0"/>
              <w:bottom w:val="single" w:color="000000" w:sz="4" w:space="0"/>
            </w:tcBorders>
          </w:tcPr>
          <w:p w14:paraId="0939A7B8">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567" w:type="dxa"/>
            <w:tcBorders>
              <w:left w:val="single" w:color="000000" w:sz="4" w:space="0"/>
              <w:bottom w:val="single" w:color="000000" w:sz="4" w:space="0"/>
            </w:tcBorders>
          </w:tcPr>
          <w:p w14:paraId="03E3E662">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567" w:type="dxa"/>
            <w:tcBorders>
              <w:left w:val="single" w:color="000000" w:sz="4" w:space="0"/>
              <w:bottom w:val="single" w:color="000000" w:sz="4" w:space="0"/>
            </w:tcBorders>
          </w:tcPr>
          <w:p w14:paraId="5909FB57">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425" w:type="dxa"/>
            <w:tcBorders>
              <w:left w:val="single" w:color="000000" w:sz="4" w:space="0"/>
              <w:bottom w:val="single" w:color="000000" w:sz="4" w:space="0"/>
              <w:right w:val="single" w:color="auto" w:sz="4" w:space="0"/>
            </w:tcBorders>
          </w:tcPr>
          <w:p w14:paraId="6EFC2C38">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567" w:type="dxa"/>
            <w:tcBorders>
              <w:left w:val="single" w:color="auto" w:sz="4" w:space="0"/>
              <w:bottom w:val="single" w:color="000000" w:sz="4" w:space="0"/>
            </w:tcBorders>
          </w:tcPr>
          <w:p w14:paraId="5B394499">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709" w:type="dxa"/>
            <w:tcBorders>
              <w:left w:val="single" w:color="000000" w:sz="4" w:space="0"/>
              <w:bottom w:val="single" w:color="000000" w:sz="4" w:space="0"/>
            </w:tcBorders>
          </w:tcPr>
          <w:p w14:paraId="3F097CEC">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567" w:type="dxa"/>
            <w:tcBorders>
              <w:left w:val="single" w:color="000000" w:sz="4" w:space="0"/>
              <w:bottom w:val="single" w:color="000000" w:sz="4" w:space="0"/>
            </w:tcBorders>
          </w:tcPr>
          <w:p w14:paraId="6A0A2D51">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713" w:type="dxa"/>
            <w:tcBorders>
              <w:top w:val="single" w:color="auto" w:sz="4" w:space="0"/>
              <w:left w:val="single" w:color="000000" w:sz="4" w:space="0"/>
              <w:bottom w:val="single" w:color="000000" w:sz="4" w:space="0"/>
              <w:right w:val="single" w:color="000000" w:sz="4" w:space="0"/>
            </w:tcBorders>
          </w:tcPr>
          <w:p w14:paraId="2FCB5940">
            <w:pPr>
              <w:snapToGrid w:val="0"/>
              <w:jc w:val="center"/>
              <w:rPr>
                <w:rFonts w:hint="default" w:ascii="Times New Roman" w:hAnsi="Times New Roman" w:eastAsia="Calibri" w:cs="Times New Roman"/>
                <w:lang w:val="uk-UA"/>
              </w:rPr>
            </w:pPr>
            <w:r>
              <w:rPr>
                <w:rFonts w:hint="default" w:ascii="Times New Roman" w:hAnsi="Times New Roman" w:eastAsia="Calibri" w:cs="Times New Roman"/>
                <w:lang w:val="uk-UA"/>
              </w:rPr>
              <w:t>1</w:t>
            </w:r>
          </w:p>
        </w:tc>
        <w:tc>
          <w:tcPr>
            <w:tcW w:w="1272" w:type="dxa"/>
            <w:gridSpan w:val="2"/>
            <w:vMerge w:val="continue"/>
            <w:tcBorders>
              <w:left w:val="single" w:color="000000" w:sz="4" w:space="0"/>
              <w:bottom w:val="single" w:color="000000" w:sz="4" w:space="0"/>
            </w:tcBorders>
          </w:tcPr>
          <w:p w14:paraId="272BC21F">
            <w:pPr>
              <w:snapToGrid w:val="0"/>
              <w:jc w:val="center"/>
              <w:rPr>
                <w:rFonts w:ascii="Times New Roman" w:hAnsi="Times New Roman" w:eastAsia="Calibri" w:cs="Times New Roman"/>
              </w:rPr>
            </w:pPr>
          </w:p>
        </w:tc>
        <w:tc>
          <w:tcPr>
            <w:tcW w:w="1052" w:type="dxa"/>
            <w:vMerge w:val="continue"/>
            <w:tcBorders>
              <w:left w:val="single" w:color="000000" w:sz="4" w:space="0"/>
              <w:bottom w:val="single" w:color="000000" w:sz="4" w:space="0"/>
            </w:tcBorders>
          </w:tcPr>
          <w:p w14:paraId="54C2D8E1">
            <w:pPr>
              <w:widowControl w:val="0"/>
              <w:suppressLineNumbers/>
              <w:suppressAutoHyphens/>
              <w:snapToGrid w:val="0"/>
              <w:jc w:val="center"/>
              <w:rPr>
                <w:rFonts w:ascii="Times New Roman" w:hAnsi="Times New Roman" w:cs="Times New Roman"/>
                <w:sz w:val="20"/>
                <w:szCs w:val="20"/>
              </w:rPr>
            </w:pPr>
          </w:p>
        </w:tc>
        <w:tc>
          <w:tcPr>
            <w:tcW w:w="1021" w:type="dxa"/>
            <w:gridSpan w:val="2"/>
            <w:vMerge w:val="continue"/>
            <w:tcBorders>
              <w:left w:val="single" w:color="000000" w:sz="4" w:space="0"/>
              <w:bottom w:val="single" w:color="000000" w:sz="4" w:space="0"/>
              <w:right w:val="single" w:color="000000" w:sz="4" w:space="0"/>
            </w:tcBorders>
          </w:tcPr>
          <w:p w14:paraId="520723BA">
            <w:pPr>
              <w:widowControl w:val="0"/>
              <w:suppressLineNumbers/>
              <w:suppressAutoHyphens/>
              <w:snapToGrid w:val="0"/>
              <w:jc w:val="center"/>
              <w:rPr>
                <w:rFonts w:ascii="Times New Roman" w:hAnsi="Times New Roman" w:cs="Times New Roman"/>
                <w:sz w:val="20"/>
                <w:szCs w:val="20"/>
              </w:rPr>
            </w:pPr>
          </w:p>
        </w:tc>
      </w:tr>
    </w:tbl>
    <w:p w14:paraId="2B5D59AA">
      <w:pPr>
        <w:suppressAutoHyphens/>
        <w:spacing w:after="0" w:line="240" w:lineRule="auto"/>
        <w:ind w:firstLine="450"/>
        <w:jc w:val="both"/>
        <w:rPr>
          <w:rFonts w:ascii="Times New Roman" w:hAnsi="Times New Roman" w:eastAsia="Times New Roman" w:cs="Times New Roman"/>
          <w:sz w:val="24"/>
          <w:szCs w:val="24"/>
          <w:lang w:eastAsia="ru-RU"/>
        </w:rPr>
      </w:pPr>
    </w:p>
    <w:p w14:paraId="43DEEA44">
      <w:pPr>
        <w:suppressAutoHyphens/>
        <w:spacing w:after="0" w:line="276" w:lineRule="auto"/>
        <w:ind w:firstLine="567"/>
        <w:jc w:val="both"/>
        <w:rPr>
          <w:rFonts w:ascii="Times New Roman" w:hAnsi="Times New Roman" w:eastAsia="Times New Roman" w:cs="Times New Roman"/>
          <w:color w:val="000000"/>
          <w:sz w:val="24"/>
          <w:szCs w:val="24"/>
          <w:lang w:eastAsia="ru-RU"/>
        </w:rPr>
      </w:pPr>
    </w:p>
    <w:p w14:paraId="59CE117C">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*Таблиця містити інформацію про максимальні бали за кожен вид навчальної роботи здобувача вищої освіти.</w:t>
      </w:r>
    </w:p>
    <w:p w14:paraId="5181B9A2">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453DBFB3">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ascii="Times New Roman" w:hAnsi="Times New Roman" w:eastAsia="Times New Roman" w:cs="Times New Roman"/>
          <w:sz w:val="24"/>
          <w:szCs w:val="24"/>
          <w:lang w:eastAsia="uk-UA" w:bidi="uk-UA"/>
        </w:rPr>
      </w:pPr>
      <w:r>
        <w:rPr>
          <w:rFonts w:ascii="Times New Roman" w:hAnsi="Times New Roman" w:eastAsia="Times New Roman" w:cs="Times New Roman"/>
          <w:color w:val="000000"/>
          <w:sz w:val="24"/>
          <w:szCs w:val="24"/>
          <w:lang w:eastAsia="ru-RU"/>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12416E82">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Модульний контроль.</w:t>
      </w:r>
      <w:r>
        <w:rPr>
          <w:rFonts w:hint="default" w:ascii="Times New Roman" w:hAnsi="Times New Roman" w:cs="Times New Roman"/>
          <w:i/>
          <w:iCs/>
          <w:color w:val="000000"/>
          <w:sz w:val="24"/>
          <w:szCs w:val="24"/>
          <w:lang w:val="uk-UA"/>
        </w:rPr>
        <w:t xml:space="preserve"> </w:t>
      </w:r>
      <w:r>
        <w:rPr>
          <w:rFonts w:hint="default" w:ascii="Times New Roman" w:hAnsi="Times New Roman" w:cs="Times New Roman"/>
          <w:color w:val="000000"/>
          <w:sz w:val="24"/>
          <w:szCs w:val="24"/>
          <w:lang w:val="uk-UA"/>
        </w:rPr>
        <w:t>Модульна контрольна робота з навчальної дисципліни  «</w:t>
      </w:r>
      <w:r>
        <w:rPr>
          <w:rFonts w:hint="default" w:ascii="Times New Roman" w:hAnsi="Times New Roman" w:cs="Times New Roman"/>
          <w:sz w:val="24"/>
          <w:szCs w:val="24"/>
          <w:lang w:val="uk-UA"/>
        </w:rPr>
        <w:t>Управління інтелектуальною власністю</w:t>
      </w:r>
      <w:r>
        <w:rPr>
          <w:rFonts w:hint="default" w:ascii="Times New Roman" w:hAnsi="Times New Roman" w:cs="Times New Roman"/>
          <w:color w:val="000000"/>
          <w:sz w:val="24"/>
          <w:szCs w:val="24"/>
          <w:lang w:val="uk-UA"/>
        </w:rPr>
        <w:t>» проводиться  у письмовій формі у вигляді тестування за допомогою тестових завдань закритого типу, включаючи альтернативні та відповідні формати.</w:t>
      </w:r>
    </w:p>
    <w:p w14:paraId="5D4E651F">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Критерії оцінювання модульного тесту з навчальної дисципліни «</w:t>
      </w:r>
      <w:r>
        <w:rPr>
          <w:rFonts w:hint="default" w:ascii="Times New Roman" w:hAnsi="Times New Roman" w:cs="Times New Roman"/>
          <w:sz w:val="24"/>
          <w:szCs w:val="24"/>
          <w:lang w:val="uk-UA"/>
        </w:rPr>
        <w:t>Управління інтелектуальною власністю</w:t>
      </w:r>
      <w:r>
        <w:rPr>
          <w:rFonts w:hint="default" w:ascii="Times New Roman" w:hAnsi="Times New Roman" w:cs="Times New Roman"/>
          <w:color w:val="000000"/>
          <w:sz w:val="24"/>
          <w:szCs w:val="24"/>
          <w:lang w:val="uk-UA"/>
        </w:rPr>
        <w:t>»:</w:t>
      </w:r>
    </w:p>
    <w:p w14:paraId="551C52E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При оцінюванні модульного тесту враховуються обсяг і правильність виконання завдань:</w:t>
      </w:r>
    </w:p>
    <w:p w14:paraId="7B3729B3">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«відмінно» (А) виставляється за правильне виконання всіх завдань (або більше 90% всіх завдань);</w:t>
      </w:r>
    </w:p>
    <w:p w14:paraId="7DF21F8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«добре» (Б) виставляється за виконання 80% всіх завдань;</w:t>
      </w:r>
    </w:p>
    <w:p w14:paraId="0C57F74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«задовільно» (В) виставляється за виконання 70% всіх завдань;</w:t>
      </w:r>
    </w:p>
    <w:p w14:paraId="6E3C217E">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«незадовільно» (Н) виставляється за виконання менше 60% запропонованих завдань;</w:t>
      </w:r>
    </w:p>
    <w:p w14:paraId="71E8027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«задовільно» (E) виставляється, якщо правильно виконано більше 50% запропонованих завдань;</w:t>
      </w:r>
    </w:p>
    <w:p w14:paraId="58ACC24A">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«незадовільно» (FX) виставляється, якщо виконано менше 50% завдань.</w:t>
      </w:r>
    </w:p>
    <w:p w14:paraId="10D0F9F1">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Неявка на модульний тест - 0 балів.</w:t>
      </w:r>
    </w:p>
    <w:p w14:paraId="15C06A60">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Вищезазначені оцінки перетворюються на рейтингові бали таким чином:</w:t>
      </w:r>
    </w:p>
    <w:p w14:paraId="2DB551B5">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«А» - 18-20 балів;</w:t>
      </w:r>
    </w:p>
    <w:p w14:paraId="43FA7E79">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«В» - 16-17 балів;</w:t>
      </w:r>
    </w:p>
    <w:p w14:paraId="57CC6E3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«С» - 14-15 балів;</w:t>
      </w:r>
    </w:p>
    <w:p w14:paraId="61C81486">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«D» - 12-13 балів.</w:t>
      </w:r>
    </w:p>
    <w:p w14:paraId="251E86FC">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«E» - 10-11 балів;</w:t>
      </w:r>
    </w:p>
    <w:p w14:paraId="4136348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«FX» - менше 10 балів.</w:t>
      </w:r>
    </w:p>
    <w:p w14:paraId="2B94AFB2">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p>
    <w:p w14:paraId="395DB32E">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Підсумкова семестрове оцінювання з навчальної дисципліни «</w:t>
      </w:r>
      <w:r>
        <w:rPr>
          <w:rFonts w:hint="default" w:ascii="Times New Roman" w:hAnsi="Times New Roman" w:cs="Times New Roman"/>
          <w:sz w:val="24"/>
          <w:szCs w:val="24"/>
          <w:lang w:val="uk-UA"/>
        </w:rPr>
        <w:t>Управління інтелектуальною власністю</w:t>
      </w:r>
      <w:r>
        <w:rPr>
          <w:rFonts w:hint="default" w:ascii="Times New Roman" w:hAnsi="Times New Roman" w:cs="Times New Roman"/>
          <w:color w:val="000000"/>
          <w:sz w:val="24"/>
          <w:szCs w:val="24"/>
          <w:lang w:val="uk-UA"/>
        </w:rPr>
        <w:t>» є обов'язковою формою оцінювання результатів навчання студентів. Воно проводиться у встановлені навчальним планом терміни і охоплює обсяг матеріалу, визначений у навчальній програмі.</w:t>
      </w:r>
    </w:p>
    <w:p w14:paraId="11951A81">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Підсумкове оцінювання проводиться у формі іспиту. До іспиту допускається студент, який виконав усі необхідні навчальні завдання, визначені в навчальній програмі.</w:t>
      </w:r>
    </w:p>
    <w:p w14:paraId="6D32EFB4">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Підсумкова (семестрова) оцінка з дисципліни складається з двох складових: результатів поточного оцінювання та оцінки за іспит.</w:t>
      </w:r>
    </w:p>
    <w:p w14:paraId="745C94EB">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Максимальна кількість балів за поточне оцінювання становить 60, а за іспит – 40.</w:t>
      </w:r>
    </w:p>
    <w:p w14:paraId="32A08CAE">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Мінімальна кількість балів, необхідна для складання іспиту, становить 25.</w:t>
      </w:r>
    </w:p>
    <w:p w14:paraId="0D002866">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Оцінка за поточну оцінку формується як сума балів, отриманих студентом під час семінарських/практичних занять, та будь-яких заохочувальних (бонусних) балів, якщо такі є.</w:t>
      </w:r>
    </w:p>
    <w:p w14:paraId="2D2667E9">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Після оцінювання відповідей студента на іспиті викладач додає бали за іспит до балів, отриманих за поточну оцінку, щоб визначити підсумкову оцінку за курс.</w:t>
      </w:r>
    </w:p>
    <w:p w14:paraId="65F25166">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eastAsia="ru-RU"/>
        </w:rPr>
        <w:t>Шкала оцінювання екзаменаційних завдань</w:t>
      </w:r>
    </w:p>
    <w:tbl>
      <w:tblPr>
        <w:tblStyle w:val="26"/>
        <w:tblW w:w="9615" w:type="dxa"/>
        <w:tblInd w:w="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55"/>
        <w:gridCol w:w="1785"/>
        <w:gridCol w:w="5475"/>
      </w:tblGrid>
      <w:tr w14:paraId="297F28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0B56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Шкала</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2010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Загальна кількість балів</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689F0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Критерії</w:t>
            </w:r>
          </w:p>
        </w:tc>
      </w:tr>
      <w:tr w14:paraId="3568A4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47E72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Відмінн</w:t>
            </w:r>
            <w:r>
              <w:rPr>
                <w:rFonts w:hint="default" w:ascii="Times New Roman" w:hAnsi="Times New Roman" w:cs="Times New Roman"/>
                <w:sz w:val="24"/>
                <w:szCs w:val="24"/>
                <w:lang w:val="uk-UA"/>
              </w:rPr>
              <w:t>о</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36B2B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30–40</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8061D68">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студент отримав максимальну оцінку за теоретичні знання.</w:t>
            </w:r>
          </w:p>
        </w:tc>
      </w:tr>
      <w:tr w14:paraId="397B46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DE2F9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lang w:val="uk-UA"/>
              </w:rPr>
              <w:t>Добре</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92637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20–29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A615C2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з достатньо високою часткою правильних відповідей.</w:t>
            </w:r>
          </w:p>
        </w:tc>
      </w:tr>
      <w:tr w14:paraId="4BCBE7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0706BF3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Задовіль</w:t>
            </w:r>
            <w:r>
              <w:rPr>
                <w:rFonts w:hint="default" w:ascii="Times New Roman" w:hAnsi="Times New Roman" w:cs="Times New Roman"/>
                <w:sz w:val="24"/>
                <w:szCs w:val="24"/>
                <w:lang w:val="uk-UA"/>
              </w:rPr>
              <w:t>но</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224B140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10–19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F49092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з середньою кількістю правильних відповідей; студент продемонстрував теоретичні знання з істотними помилками.</w:t>
            </w:r>
          </w:p>
        </w:tc>
      </w:tr>
      <w:tr w14:paraId="26FD08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20C7181">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eastAsia="ru-RU"/>
              </w:rPr>
              <w:t>незадовільно з можливістю повторного складання</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4287FC7">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0–9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01412934">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не виконано; студент продемонстрував теоретичні знання з істотними помилками.</w:t>
            </w:r>
          </w:p>
        </w:tc>
      </w:tr>
    </w:tbl>
    <w:p w14:paraId="05138308">
      <w:pPr>
        <w:suppressAutoHyphens/>
        <w:spacing w:after="0" w:line="240" w:lineRule="auto"/>
        <w:ind w:firstLine="567"/>
        <w:jc w:val="both"/>
        <w:rPr>
          <w:rFonts w:hint="default" w:ascii="Times New Roman" w:hAnsi="Times New Roman" w:eastAsia="Times New Roman"/>
          <w:b/>
          <w:bCs/>
          <w:color w:val="000000"/>
          <w:sz w:val="24"/>
          <w:szCs w:val="24"/>
          <w:lang w:eastAsia="ru-RU"/>
        </w:rPr>
      </w:pPr>
    </w:p>
    <w:p w14:paraId="1C832BB8">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Оцінювання додаткових (індивідуальних) видів навчальної діяльності.</w:t>
      </w:r>
      <w:r>
        <w:rPr>
          <w:rFonts w:ascii="Times New Roman" w:hAnsi="Times New Roman" w:eastAsia="Times New Roman" w:cs="Times New Roman"/>
          <w:color w:val="000000"/>
          <w:sz w:val="24"/>
          <w:szCs w:val="24"/>
          <w:lang w:eastAsia="ru-RU"/>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0EB123A1">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096D608D">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Також, заохочувальні бали можуть нараховуватися, якщо здобувач освіти, наприклад, виконав і захистив певні види робіт, відвідував всі лекції, семінарські й практичні заняття, має власний рукописний конспект лекцій та опрацьований додатковий навчальний матеріал, немає пропусків занять без поважних причин, відвідував додаткові консультації за участі лектора тощо.</w:t>
      </w:r>
    </w:p>
    <w:p w14:paraId="285B8A23">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Заохочувальні бали не є нормативними і не входять до таблиці розподілу балів, які отримують здобувачі вищої освіти та основної шкали системи оцінювання.</w:t>
      </w:r>
    </w:p>
    <w:p w14:paraId="7AB56532">
      <w:pPr>
        <w:suppressAutoHyphens/>
        <w:spacing w:after="0" w:line="240" w:lineRule="auto"/>
        <w:ind w:firstLine="567"/>
        <w:jc w:val="both"/>
        <w:rPr>
          <w:rFonts w:hint="default" w:ascii="Times New Roman" w:hAnsi="Times New Roman" w:eastAsia="Times New Roman"/>
          <w:b/>
          <w:bCs/>
          <w:color w:val="000000"/>
          <w:sz w:val="24"/>
          <w:szCs w:val="24"/>
          <w:lang w:val="uk-UA" w:eastAsia="ru-RU"/>
        </w:rPr>
      </w:pPr>
      <w:r>
        <w:rPr>
          <w:rFonts w:ascii="Times New Roman" w:hAnsi="Times New Roman" w:eastAsia="Times New Roman" w:cs="Times New Roman"/>
          <w:color w:val="000000"/>
          <w:sz w:val="24"/>
          <w:szCs w:val="24"/>
          <w:lang w:eastAsia="ru-RU"/>
        </w:rPr>
        <w:t>Один захід може бути підставою для виставлення заохочувальних балів лише за однією найбільш релевантною освітньою компонентою</w:t>
      </w:r>
      <w:r>
        <w:rPr>
          <w:rFonts w:hint="default" w:ascii="Times New Roman" w:hAnsi="Times New Roman" w:eastAsia="Times New Roman" w:cs="Times New Roman"/>
          <w:color w:val="000000"/>
          <w:sz w:val="24"/>
          <w:szCs w:val="24"/>
          <w:lang w:val="uk-UA" w:eastAsia="ru-RU"/>
        </w:rPr>
        <w:t>.</w:t>
      </w:r>
    </w:p>
    <w:p w14:paraId="3E0819A3">
      <w:pPr>
        <w:suppressAutoHyphens/>
        <w:spacing w:after="0" w:line="240"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Оцінка самостійної роботи</w:t>
      </w:r>
    </w:p>
    <w:p w14:paraId="76340636">
      <w:pPr>
        <w:suppressAutoHyphens/>
        <w:spacing w:after="0" w:line="240" w:lineRule="auto"/>
        <w:ind w:firstLine="708" w:firstLineChars="0"/>
        <w:jc w:val="both"/>
        <w:rPr>
          <w:rFonts w:hint="default" w:ascii="Times New Roman" w:hAnsi="Times New Roman" w:eastAsia="Times New Roman"/>
          <w:b w:val="0"/>
          <w:bCs w:val="0"/>
          <w:color w:val="000000"/>
          <w:sz w:val="24"/>
          <w:szCs w:val="24"/>
          <w:lang w:val="en-US" w:eastAsia="ru-RU"/>
        </w:rPr>
      </w:pPr>
      <w:r>
        <w:rPr>
          <w:rFonts w:hint="default" w:ascii="Times New Roman" w:hAnsi="Times New Roman" w:eastAsia="Times New Roman"/>
          <w:b w:val="0"/>
          <w:bCs w:val="0"/>
          <w:color w:val="000000"/>
          <w:sz w:val="24"/>
          <w:szCs w:val="24"/>
          <w:lang w:val="en-US" w:eastAsia="ru-RU"/>
        </w:rPr>
        <w:t>Загальна кількість балів, отриманих студентом за виконання самостійної роботи, є одним із складових академічної успішності з дисципліни. Самостійна робота за кожною темою, відповідно до програми курсу, оцінюється в діапазоні від 0 до 1 бала за допомогою стандартизованих і узагальнених критеріїв оцінювання знань.</w:t>
      </w:r>
    </w:p>
    <w:p w14:paraId="705449ED">
      <w:pPr>
        <w:suppressAutoHyphens/>
        <w:spacing w:after="0" w:line="240"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Шкала оцінювання виконання самостійної роботи (індивідуальних завдань)</w:t>
      </w:r>
    </w:p>
    <w:p w14:paraId="1C111B1A">
      <w:pPr>
        <w:suppressAutoHyphens/>
        <w:spacing w:after="0" w:line="240" w:lineRule="auto"/>
        <w:jc w:val="both"/>
        <w:rPr>
          <w:rFonts w:ascii="Times New Roman" w:hAnsi="Times New Roman" w:eastAsia="Times New Roman" w:cs="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критерії оцінювання.</w:t>
      </w:r>
    </w:p>
    <w:p w14:paraId="754E3F79">
      <w:pPr>
        <w:suppressAutoHyphens/>
        <w:spacing w:after="0" w:line="240" w:lineRule="auto"/>
        <w:ind w:firstLine="567"/>
        <w:jc w:val="both"/>
        <w:rPr>
          <w:rFonts w:ascii="Times New Roman" w:hAnsi="Times New Roman" w:eastAsia="Times New Roman" w:cs="Times New Roman"/>
          <w:color w:val="000000"/>
          <w:sz w:val="24"/>
          <w:szCs w:val="24"/>
          <w:lang w:val="en-US" w:eastAsia="ru-RU"/>
        </w:rPr>
      </w:pPr>
    </w:p>
    <w:tbl>
      <w:tblPr>
        <w:tblStyle w:val="28"/>
        <w:tblW w:w="9481" w:type="dxa"/>
        <w:tblInd w:w="-60" w:type="dxa"/>
        <w:tblLayout w:type="fixed"/>
        <w:tblCellMar>
          <w:top w:w="0" w:type="dxa"/>
          <w:left w:w="115" w:type="dxa"/>
          <w:bottom w:w="0" w:type="dxa"/>
          <w:right w:w="115" w:type="dxa"/>
        </w:tblCellMar>
      </w:tblPr>
      <w:tblGrid>
        <w:gridCol w:w="2592"/>
        <w:gridCol w:w="1689"/>
        <w:gridCol w:w="1509"/>
        <w:gridCol w:w="1710"/>
        <w:gridCol w:w="1981"/>
      </w:tblGrid>
      <w:tr w14:paraId="7A39D421">
        <w:tblPrEx>
          <w:tblCellMar>
            <w:top w:w="0" w:type="dxa"/>
            <w:left w:w="115" w:type="dxa"/>
            <w:bottom w:w="0" w:type="dxa"/>
            <w:right w:w="115" w:type="dxa"/>
          </w:tblCellMar>
        </w:tblPrEx>
        <w:tc>
          <w:tcPr>
            <w:tcW w:w="0" w:type="auto"/>
            <w:vMerge w:val="restart"/>
            <w:tcBorders>
              <w:top w:val="single" w:color="000000" w:sz="4" w:space="0"/>
              <w:left w:val="single" w:color="000000" w:sz="4" w:space="0"/>
              <w:bottom w:val="single" w:color="000000" w:sz="4" w:space="0"/>
            </w:tcBorders>
            <w:noWrap w:val="0"/>
            <w:vAlign w:val="top"/>
          </w:tcPr>
          <w:p w14:paraId="500EBEC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Максимально можлива оцінка самостійної роботи (індивідуальні завдання)</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2C40F4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Рівень виконання</w:t>
            </w:r>
          </w:p>
        </w:tc>
      </w:tr>
      <w:tr w14:paraId="36A28B74">
        <w:tblPrEx>
          <w:tblCellMar>
            <w:top w:w="0" w:type="dxa"/>
            <w:left w:w="115" w:type="dxa"/>
            <w:bottom w:w="0" w:type="dxa"/>
            <w:right w:w="115" w:type="dxa"/>
          </w:tblCellMar>
        </w:tblPrEx>
        <w:tc>
          <w:tcPr>
            <w:tcW w:w="0" w:type="auto"/>
            <w:vMerge w:val="continue"/>
            <w:tcBorders>
              <w:top w:val="single" w:color="000000" w:sz="4" w:space="0"/>
              <w:left w:val="single" w:color="000000" w:sz="4" w:space="0"/>
              <w:bottom w:val="single" w:color="000000" w:sz="4" w:space="0"/>
            </w:tcBorders>
            <w:noWrap w:val="0"/>
            <w:vAlign w:val="top"/>
          </w:tcPr>
          <w:p w14:paraId="53A782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center"/>
              <w:rPr>
                <w:rFonts w:hint="default" w:ascii="Times New Roman" w:hAnsi="Times New Roman" w:eastAsia="Times New Roman" w:cs="Times New Roman"/>
                <w:color w:val="000000"/>
                <w:sz w:val="24"/>
                <w:szCs w:val="24"/>
              </w:rPr>
            </w:pPr>
          </w:p>
        </w:tc>
        <w:tc>
          <w:tcPr>
            <w:tcW w:w="0" w:type="auto"/>
            <w:tcBorders>
              <w:left w:val="single" w:color="000000" w:sz="4" w:space="0"/>
              <w:bottom w:val="single" w:color="000000" w:sz="4" w:space="0"/>
            </w:tcBorders>
            <w:noWrap w:val="0"/>
            <w:vAlign w:val="center"/>
          </w:tcPr>
          <w:p w14:paraId="65D830A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Відмінно</w:t>
            </w:r>
          </w:p>
        </w:tc>
        <w:tc>
          <w:tcPr>
            <w:tcW w:w="0" w:type="auto"/>
            <w:tcBorders>
              <w:left w:val="single" w:color="000000" w:sz="4" w:space="0"/>
              <w:bottom w:val="single" w:color="000000" w:sz="4" w:space="0"/>
            </w:tcBorders>
            <w:noWrap w:val="0"/>
            <w:vAlign w:val="center"/>
          </w:tcPr>
          <w:p w14:paraId="42FA678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Добре</w:t>
            </w:r>
          </w:p>
        </w:tc>
        <w:tc>
          <w:tcPr>
            <w:tcW w:w="0" w:type="auto"/>
            <w:tcBorders>
              <w:left w:val="single" w:color="000000" w:sz="4" w:space="0"/>
              <w:bottom w:val="single" w:color="000000" w:sz="4" w:space="0"/>
            </w:tcBorders>
            <w:noWrap w:val="0"/>
            <w:vAlign w:val="center"/>
          </w:tcPr>
          <w:p w14:paraId="2E2B88B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Задовільно</w:t>
            </w:r>
          </w:p>
        </w:tc>
        <w:tc>
          <w:tcPr>
            <w:tcW w:w="0" w:type="auto"/>
            <w:tcBorders>
              <w:left w:val="single" w:color="000000" w:sz="4" w:space="0"/>
              <w:bottom w:val="single" w:color="000000" w:sz="4" w:space="0"/>
              <w:right w:val="single" w:color="000000" w:sz="4" w:space="0"/>
            </w:tcBorders>
            <w:noWrap w:val="0"/>
            <w:vAlign w:val="center"/>
          </w:tcPr>
          <w:p w14:paraId="0CF9313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Незадовільно</w:t>
            </w:r>
          </w:p>
        </w:tc>
      </w:tr>
      <w:tr w14:paraId="35561310">
        <w:tblPrEx>
          <w:tblCellMar>
            <w:top w:w="0" w:type="dxa"/>
            <w:left w:w="115" w:type="dxa"/>
            <w:bottom w:w="0" w:type="dxa"/>
            <w:right w:w="115" w:type="dxa"/>
          </w:tblCellMar>
        </w:tblPrEx>
        <w:tc>
          <w:tcPr>
            <w:tcW w:w="0" w:type="auto"/>
            <w:tcBorders>
              <w:left w:val="single" w:color="000000" w:sz="4" w:space="0"/>
              <w:bottom w:val="single" w:color="000000" w:sz="4" w:space="0"/>
            </w:tcBorders>
            <w:noWrap w:val="0"/>
            <w:vAlign w:val="top"/>
          </w:tcPr>
          <w:p w14:paraId="029CDE7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W w:w="0" w:type="auto"/>
            <w:tcBorders>
              <w:left w:val="single" w:color="000000" w:sz="4" w:space="0"/>
              <w:bottom w:val="single" w:color="000000" w:sz="4" w:space="0"/>
            </w:tcBorders>
            <w:noWrap w:val="0"/>
            <w:vAlign w:val="top"/>
          </w:tcPr>
          <w:p w14:paraId="2A50F79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W w:w="0" w:type="auto"/>
            <w:tcBorders>
              <w:left w:val="single" w:color="000000" w:sz="4" w:space="0"/>
              <w:bottom w:val="single" w:color="000000" w:sz="4" w:space="0"/>
            </w:tcBorders>
            <w:noWrap w:val="0"/>
            <w:vAlign w:val="top"/>
          </w:tcPr>
          <w:p w14:paraId="28095D8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0,75</w:t>
            </w:r>
          </w:p>
        </w:tc>
        <w:tc>
          <w:tcPr>
            <w:tcW w:w="0" w:type="auto"/>
            <w:tcBorders>
              <w:left w:val="single" w:color="000000" w:sz="4" w:space="0"/>
              <w:bottom w:val="single" w:color="000000" w:sz="4" w:space="0"/>
            </w:tcBorders>
            <w:noWrap w:val="0"/>
            <w:vAlign w:val="top"/>
          </w:tcPr>
          <w:p w14:paraId="1420983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0,5</w:t>
            </w:r>
          </w:p>
        </w:tc>
        <w:tc>
          <w:tcPr>
            <w:tcW w:w="0" w:type="auto"/>
            <w:tcBorders>
              <w:left w:val="single" w:color="000000" w:sz="4" w:space="0"/>
              <w:bottom w:val="single" w:color="000000" w:sz="4" w:space="0"/>
              <w:right w:val="single" w:color="000000" w:sz="4" w:space="0"/>
            </w:tcBorders>
            <w:noWrap w:val="0"/>
            <w:vAlign w:val="top"/>
          </w:tcPr>
          <w:p w14:paraId="43671C5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w:t>
            </w:r>
          </w:p>
        </w:tc>
      </w:tr>
    </w:tbl>
    <w:p w14:paraId="4D8A0329">
      <w:pPr>
        <w:suppressAutoHyphens/>
        <w:spacing w:after="0" w:line="240" w:lineRule="auto"/>
        <w:jc w:val="both"/>
        <w:rPr>
          <w:rFonts w:ascii="Times New Roman" w:hAnsi="Times New Roman" w:eastAsia="Times New Roman" w:cs="Times New Roman"/>
          <w:color w:val="000000"/>
          <w:sz w:val="24"/>
          <w:szCs w:val="24"/>
          <w:lang w:val="en-US" w:eastAsia="ru-RU"/>
        </w:rPr>
      </w:pPr>
    </w:p>
    <w:p w14:paraId="58EE09C3">
      <w:pPr>
        <w:suppressAutoHyphens/>
        <w:spacing w:after="0" w:line="240" w:lineRule="auto"/>
        <w:ind w:firstLine="567"/>
        <w:jc w:val="both"/>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en-US" w:eastAsia="ru-RU"/>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402F9D45">
      <w:pPr>
        <w:suppressAutoHyphens/>
        <w:spacing w:after="0" w:line="276" w:lineRule="auto"/>
        <w:jc w:val="both"/>
        <w:rPr>
          <w:rFonts w:ascii="Times New Roman" w:hAnsi="Times New Roman" w:eastAsia="Times New Roman" w:cs="Times New Roman"/>
          <w:color w:val="000000"/>
          <w:sz w:val="24"/>
          <w:szCs w:val="24"/>
          <w:lang w:eastAsia="ru-RU"/>
        </w:rPr>
      </w:pPr>
    </w:p>
    <w:p w14:paraId="5416A5A3">
      <w:pPr>
        <w:suppressAutoHyphens/>
        <w:spacing w:after="0" w:line="276" w:lineRule="auto"/>
        <w:ind w:firstLine="567"/>
        <w:jc w:val="both"/>
        <w:rPr>
          <w:rFonts w:ascii="Times New Roman" w:hAnsi="Times New Roman" w:eastAsia="Times New Roman" w:cs="Times New Roman"/>
          <w:b/>
          <w:bCs/>
          <w:color w:val="000000"/>
          <w:sz w:val="24"/>
          <w:szCs w:val="20"/>
          <w:lang w:eastAsia="uk-UA"/>
        </w:rPr>
      </w:pPr>
      <w:r>
        <w:rPr>
          <w:rFonts w:ascii="Times New Roman" w:hAnsi="Times New Roman" w:eastAsia="Times New Roman" w:cs="Times New Roman"/>
          <w:color w:val="000000"/>
          <w:sz w:val="24"/>
          <w:szCs w:val="24"/>
          <w:lang w:eastAsia="ru-RU"/>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5292B5EF">
      <w:pPr>
        <w:suppressAutoHyphens/>
        <w:spacing w:after="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0"/>
          <w:lang w:eastAsia="uk-UA"/>
        </w:rPr>
        <w:t>Шкала підсумкового оцінювання: національна та ECTS</w:t>
      </w:r>
    </w:p>
    <w:tbl>
      <w:tblPr>
        <w:tblStyle w:val="4"/>
        <w:tblW w:w="9634" w:type="dxa"/>
        <w:tblInd w:w="0" w:type="dxa"/>
        <w:tblLayout w:type="fixed"/>
        <w:tblCellMar>
          <w:top w:w="0" w:type="dxa"/>
          <w:left w:w="0" w:type="dxa"/>
          <w:bottom w:w="0" w:type="dxa"/>
          <w:right w:w="0" w:type="dxa"/>
        </w:tblCellMar>
      </w:tblPr>
      <w:tblGrid>
        <w:gridCol w:w="2147"/>
        <w:gridCol w:w="1363"/>
        <w:gridCol w:w="3581"/>
        <w:gridCol w:w="2543"/>
      </w:tblGrid>
      <w:tr w14:paraId="176C95BD">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tcBorders>
            <w:shd w:val="clear" w:color="auto" w:fill="FFFFFF"/>
          </w:tcPr>
          <w:p w14:paraId="615A718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tcBorders>
            <w:shd w:val="clear" w:color="auto" w:fill="FFFFFF"/>
          </w:tcPr>
          <w:p w14:paraId="65C1605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124" w:type="dxa"/>
            <w:gridSpan w:val="2"/>
            <w:tcBorders>
              <w:top w:val="single" w:color="000000" w:sz="4" w:space="0"/>
              <w:left w:val="single" w:color="000000" w:sz="4" w:space="0"/>
              <w:right w:val="single" w:color="000000" w:sz="4" w:space="0"/>
            </w:tcBorders>
            <w:shd w:val="clear" w:color="auto" w:fill="FFFFFF"/>
          </w:tcPr>
          <w:p w14:paraId="4699DAD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6327EE91">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tcBorders>
            <w:shd w:val="clear" w:color="auto" w:fill="FFFFFF"/>
          </w:tcPr>
          <w:p w14:paraId="3BB93945">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1363" w:type="dxa"/>
            <w:vMerge w:val="continue"/>
            <w:tcBorders>
              <w:top w:val="single" w:color="000000" w:sz="4" w:space="0"/>
              <w:left w:val="single" w:color="000000" w:sz="4" w:space="0"/>
            </w:tcBorders>
            <w:shd w:val="clear" w:color="auto" w:fill="FFFFFF"/>
          </w:tcPr>
          <w:p w14:paraId="4BD6DC17">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3581" w:type="dxa"/>
            <w:tcBorders>
              <w:top w:val="single" w:color="000000" w:sz="4" w:space="0"/>
              <w:left w:val="single" w:color="000000" w:sz="4" w:space="0"/>
            </w:tcBorders>
            <w:shd w:val="clear" w:color="auto" w:fill="FFFFFF"/>
          </w:tcPr>
          <w:p w14:paraId="0CC637E6">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2543" w:type="dxa"/>
            <w:tcBorders>
              <w:top w:val="single" w:color="000000" w:sz="4" w:space="0"/>
              <w:left w:val="single" w:color="000000" w:sz="4" w:space="0"/>
              <w:right w:val="single" w:color="000000" w:sz="4" w:space="0"/>
            </w:tcBorders>
            <w:shd w:val="clear" w:color="auto" w:fill="FFFFFF"/>
          </w:tcPr>
          <w:p w14:paraId="2B5B285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004B83D2">
        <w:tblPrEx>
          <w:tblCellMar>
            <w:top w:w="0" w:type="dxa"/>
            <w:left w:w="0" w:type="dxa"/>
            <w:bottom w:w="0" w:type="dxa"/>
            <w:right w:w="0" w:type="dxa"/>
          </w:tblCellMar>
        </w:tblPrEx>
        <w:trPr>
          <w:trHeight w:val="362" w:hRule="exact"/>
        </w:trPr>
        <w:tc>
          <w:tcPr>
            <w:tcW w:w="2147" w:type="dxa"/>
            <w:tcBorders>
              <w:top w:val="single" w:color="000000" w:sz="4" w:space="0"/>
              <w:left w:val="single" w:color="000000" w:sz="4" w:space="0"/>
            </w:tcBorders>
            <w:shd w:val="clear" w:color="auto" w:fill="FFFFFF"/>
          </w:tcPr>
          <w:p w14:paraId="0DF823C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tcBorders>
            <w:shd w:val="clear" w:color="auto" w:fill="FFFFFF"/>
          </w:tcPr>
          <w:p w14:paraId="0380F00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tcBorders>
            <w:shd w:val="clear" w:color="auto" w:fill="FFFFFF"/>
          </w:tcPr>
          <w:p w14:paraId="0485A7A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2543" w:type="dxa"/>
            <w:vMerge w:val="restart"/>
            <w:tcBorders>
              <w:top w:val="single" w:color="000000" w:sz="4" w:space="0"/>
              <w:left w:val="single" w:color="000000" w:sz="4" w:space="0"/>
              <w:right w:val="single" w:color="000000" w:sz="4" w:space="0"/>
            </w:tcBorders>
            <w:shd w:val="clear" w:color="auto" w:fill="FFFFFF"/>
          </w:tcPr>
          <w:p w14:paraId="167E248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6A4D6E59">
        <w:tblPrEx>
          <w:tblCellMar>
            <w:top w:w="0" w:type="dxa"/>
            <w:left w:w="0" w:type="dxa"/>
            <w:bottom w:w="0" w:type="dxa"/>
            <w:right w:w="0" w:type="dxa"/>
          </w:tblCellMar>
        </w:tblPrEx>
        <w:trPr>
          <w:trHeight w:val="357" w:hRule="exact"/>
        </w:trPr>
        <w:tc>
          <w:tcPr>
            <w:tcW w:w="2147" w:type="dxa"/>
            <w:tcBorders>
              <w:top w:val="single" w:color="000000" w:sz="4" w:space="0"/>
              <w:left w:val="single" w:color="000000" w:sz="4" w:space="0"/>
            </w:tcBorders>
            <w:shd w:val="clear" w:color="auto" w:fill="FFFFFF"/>
          </w:tcPr>
          <w:p w14:paraId="6C0CB4A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82-89</w:t>
            </w:r>
          </w:p>
        </w:tc>
        <w:tc>
          <w:tcPr>
            <w:tcW w:w="1363" w:type="dxa"/>
            <w:tcBorders>
              <w:top w:val="single" w:color="000000" w:sz="4" w:space="0"/>
              <w:left w:val="single" w:color="000000" w:sz="4" w:space="0"/>
            </w:tcBorders>
            <w:shd w:val="clear" w:color="auto" w:fill="FFFFFF"/>
          </w:tcPr>
          <w:p w14:paraId="3E7C433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tcBorders>
            <w:shd w:val="clear" w:color="auto" w:fill="FFFFFF"/>
          </w:tcPr>
          <w:p w14:paraId="402A77B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2543" w:type="dxa"/>
            <w:vMerge w:val="continue"/>
            <w:tcBorders>
              <w:top w:val="single" w:color="000000" w:sz="4" w:space="0"/>
              <w:left w:val="single" w:color="000000" w:sz="4" w:space="0"/>
              <w:right w:val="single" w:color="000000" w:sz="4" w:space="0"/>
            </w:tcBorders>
            <w:shd w:val="clear" w:color="auto" w:fill="FFFFFF"/>
          </w:tcPr>
          <w:p w14:paraId="383F2A7A">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0FC1563E">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tcBorders>
            <w:shd w:val="clear" w:color="auto" w:fill="FFFFFF"/>
          </w:tcPr>
          <w:p w14:paraId="378F38F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75-81</w:t>
            </w:r>
          </w:p>
        </w:tc>
        <w:tc>
          <w:tcPr>
            <w:tcW w:w="1363" w:type="dxa"/>
            <w:tcBorders>
              <w:top w:val="single" w:color="000000" w:sz="4" w:space="0"/>
              <w:left w:val="single" w:color="000000" w:sz="4" w:space="0"/>
            </w:tcBorders>
            <w:shd w:val="clear" w:color="auto" w:fill="FFFFFF"/>
          </w:tcPr>
          <w:p w14:paraId="0C89B73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3581" w:type="dxa"/>
            <w:vMerge w:val="continue"/>
            <w:tcBorders>
              <w:top w:val="single" w:color="000000" w:sz="4" w:space="0"/>
              <w:left w:val="single" w:color="000000" w:sz="4" w:space="0"/>
            </w:tcBorders>
            <w:shd w:val="clear" w:color="auto" w:fill="FFFFFF"/>
          </w:tcPr>
          <w:p w14:paraId="1A45D3FB">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03E1FD5C">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0716735D">
        <w:tblPrEx>
          <w:tblCellMar>
            <w:top w:w="0" w:type="dxa"/>
            <w:left w:w="0" w:type="dxa"/>
            <w:bottom w:w="0" w:type="dxa"/>
            <w:right w:w="0" w:type="dxa"/>
          </w:tblCellMar>
        </w:tblPrEx>
        <w:trPr>
          <w:trHeight w:val="364" w:hRule="exact"/>
        </w:trPr>
        <w:tc>
          <w:tcPr>
            <w:tcW w:w="2147" w:type="dxa"/>
            <w:tcBorders>
              <w:top w:val="single" w:color="000000" w:sz="4" w:space="0"/>
              <w:left w:val="single" w:color="000000" w:sz="4" w:space="0"/>
            </w:tcBorders>
            <w:shd w:val="clear" w:color="auto" w:fill="FFFFFF"/>
          </w:tcPr>
          <w:p w14:paraId="0716354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68-74</w:t>
            </w:r>
          </w:p>
        </w:tc>
        <w:tc>
          <w:tcPr>
            <w:tcW w:w="1363" w:type="dxa"/>
            <w:tcBorders>
              <w:top w:val="single" w:color="000000" w:sz="4" w:space="0"/>
              <w:left w:val="single" w:color="000000" w:sz="4" w:space="0"/>
            </w:tcBorders>
            <w:shd w:val="clear" w:color="auto" w:fill="FFFFFF"/>
          </w:tcPr>
          <w:p w14:paraId="7A05E94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tcBorders>
            <w:shd w:val="clear" w:color="auto" w:fill="FFFFFF"/>
          </w:tcPr>
          <w:p w14:paraId="4FD46EB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2543" w:type="dxa"/>
            <w:vMerge w:val="continue"/>
            <w:tcBorders>
              <w:top w:val="single" w:color="000000" w:sz="4" w:space="0"/>
              <w:left w:val="single" w:color="000000" w:sz="4" w:space="0"/>
              <w:right w:val="single" w:color="000000" w:sz="4" w:space="0"/>
            </w:tcBorders>
            <w:shd w:val="clear" w:color="auto" w:fill="FFFFFF"/>
          </w:tcPr>
          <w:p w14:paraId="23A8356E">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4EDAF66A">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tcBorders>
            <w:shd w:val="clear" w:color="auto" w:fill="FFFFFF"/>
          </w:tcPr>
          <w:p w14:paraId="0354655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60-67</w:t>
            </w:r>
          </w:p>
        </w:tc>
        <w:tc>
          <w:tcPr>
            <w:tcW w:w="1363" w:type="dxa"/>
            <w:tcBorders>
              <w:top w:val="single" w:color="000000" w:sz="4" w:space="0"/>
              <w:left w:val="single" w:color="000000" w:sz="4" w:space="0"/>
            </w:tcBorders>
            <w:shd w:val="clear" w:color="auto" w:fill="FFFFFF"/>
          </w:tcPr>
          <w:p w14:paraId="57BFA68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3581" w:type="dxa"/>
            <w:vMerge w:val="continue"/>
            <w:tcBorders>
              <w:top w:val="single" w:color="000000" w:sz="4" w:space="0"/>
              <w:left w:val="single" w:color="000000" w:sz="4" w:space="0"/>
            </w:tcBorders>
            <w:shd w:val="clear" w:color="auto" w:fill="FFFFFF"/>
          </w:tcPr>
          <w:p w14:paraId="6E6525B2">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39641088">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F2CFA57">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tcBorders>
            <w:shd w:val="clear" w:color="auto" w:fill="FFFFFF"/>
          </w:tcPr>
          <w:p w14:paraId="412C258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35-59</w:t>
            </w:r>
          </w:p>
        </w:tc>
        <w:tc>
          <w:tcPr>
            <w:tcW w:w="1363" w:type="dxa"/>
            <w:tcBorders>
              <w:top w:val="single" w:color="000000" w:sz="4" w:space="0"/>
              <w:left w:val="single" w:color="000000" w:sz="4" w:space="0"/>
            </w:tcBorders>
            <w:shd w:val="clear" w:color="auto" w:fill="FFFFFF"/>
          </w:tcPr>
          <w:p w14:paraId="55A7E6B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tcBorders>
            <w:shd w:val="clear" w:color="auto" w:fill="FFFFFF"/>
          </w:tcPr>
          <w:p w14:paraId="254B937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2543" w:type="dxa"/>
            <w:tcBorders>
              <w:top w:val="single" w:color="000000" w:sz="4" w:space="0"/>
              <w:left w:val="single" w:color="000000" w:sz="4" w:space="0"/>
              <w:right w:val="single" w:color="000000" w:sz="4" w:space="0"/>
            </w:tcBorders>
            <w:shd w:val="clear" w:color="auto" w:fill="FFFFFF"/>
          </w:tcPr>
          <w:p w14:paraId="5F64F58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44CD0CF8">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tcBorders>
            <w:shd w:val="clear" w:color="auto" w:fill="FFFFFF"/>
          </w:tcPr>
          <w:p w14:paraId="3B8CA67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0-34</w:t>
            </w:r>
          </w:p>
        </w:tc>
        <w:tc>
          <w:tcPr>
            <w:tcW w:w="1363" w:type="dxa"/>
            <w:tcBorders>
              <w:top w:val="single" w:color="000000" w:sz="4" w:space="0"/>
              <w:left w:val="single" w:color="000000" w:sz="4" w:space="0"/>
              <w:bottom w:val="single" w:color="000000" w:sz="4" w:space="0"/>
            </w:tcBorders>
            <w:shd w:val="clear" w:color="auto" w:fill="FFFFFF"/>
          </w:tcPr>
          <w:p w14:paraId="1DDAC1F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tcBorders>
            <w:shd w:val="clear" w:color="auto" w:fill="FFFFFF"/>
          </w:tcPr>
          <w:p w14:paraId="6C4F733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2543" w:type="dxa"/>
            <w:tcBorders>
              <w:top w:val="single" w:color="000000" w:sz="4" w:space="0"/>
              <w:left w:val="single" w:color="000000" w:sz="4" w:space="0"/>
              <w:bottom w:val="single" w:color="000000" w:sz="4" w:space="0"/>
              <w:right w:val="single" w:color="000000" w:sz="4" w:space="0"/>
            </w:tcBorders>
            <w:shd w:val="clear" w:color="auto" w:fill="FFFFFF"/>
          </w:tcPr>
          <w:p w14:paraId="3F052E4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5C0C3C9B">
      <w:pPr>
        <w:suppressAutoHyphens/>
        <w:spacing w:after="0" w:line="240" w:lineRule="auto"/>
        <w:jc w:val="both"/>
        <w:rPr>
          <w:rFonts w:ascii="Times New Roman" w:hAnsi="Times New Roman" w:eastAsia="Times New Roman" w:cs="Times New Roman"/>
          <w:b/>
          <w:bCs/>
          <w:sz w:val="24"/>
          <w:szCs w:val="24"/>
          <w:lang w:eastAsia="ru-RU"/>
        </w:rPr>
      </w:pPr>
      <w:bookmarkStart w:id="4" w:name="_GoBack"/>
      <w:bookmarkEnd w:id="4"/>
    </w:p>
    <w:p w14:paraId="34B66DC7">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Політика курсу. </w:t>
      </w:r>
    </w:p>
    <w:p w14:paraId="559E49B4">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успішного засвоєння курсу «Управління інтелектуальною власністю» здобувач освіти має:</w:t>
      </w:r>
    </w:p>
    <w:p w14:paraId="347E5323">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регулярно відвідувати лекційні та практичні заняття;</w:t>
      </w:r>
    </w:p>
    <w:p w14:paraId="6D4829E6">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систематично, системно й активно працювати на лекційних і практичних заняттях;</w:t>
      </w:r>
    </w:p>
    <w:p w14:paraId="047C41A3">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відпрацьовувати пропущені заняття або незадовільні оцінки, отримані на заняттях;</w:t>
      </w:r>
    </w:p>
    <w:p w14:paraId="2DEEBF0A">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у повному обсязі завдання, які вимагає підготувати викладач, належна їх якість;</w:t>
      </w:r>
    </w:p>
    <w:p w14:paraId="3B23BEA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контрольні та інші самостійні роботи;</w:t>
      </w:r>
    </w:p>
    <w:p w14:paraId="65559BE0">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дотримуватися норм академічної поведінки та етики.</w:t>
      </w:r>
    </w:p>
    <w:p w14:paraId="2049DBB6">
      <w:pPr>
        <w:suppressAutoHyphens/>
        <w:spacing w:after="0" w:line="240" w:lineRule="auto"/>
        <w:ind w:firstLine="450"/>
        <w:jc w:val="both"/>
        <w:rPr>
          <w:rFonts w:ascii="Times New Roman" w:hAnsi="Times New Roman" w:eastAsia="SimSun" w:cs="Times New Roman"/>
          <w:sz w:val="24"/>
          <w:szCs w:val="24"/>
          <w:lang w:eastAsia="ru-RU"/>
        </w:rPr>
      </w:pPr>
      <w:r>
        <w:rPr>
          <w:rFonts w:ascii="Times New Roman" w:hAnsi="Times New Roman" w:eastAsia="Times New Roman" w:cs="Times New Roman"/>
          <w:sz w:val="24"/>
          <w:szCs w:val="24"/>
          <w:lang w:eastAsia="ru-RU"/>
        </w:rPr>
        <w:t>Курс «Управління інтелектуальною власністю» передбачає засвоєння та дотримання принципів етики та академічної доброчесності, зокрема орієнтації на запобігання плагіату у будь-яких його проявах: всі роботи, доповіді, есе, реферати та презентації мають бути оригінальними та авторськими, не переобтяженими цитатами, що мають супроводжуватися посиланнями на першоджерела.  Порушеннями академічної доброчесності вважаються: академічний плагіат, самоплагіат, фабрикація, фальсифікація, списування, обман, хабарництво, необ’єктивне оцінювання.</w:t>
      </w:r>
    </w:p>
    <w:p w14:paraId="4C7E87D8">
      <w:pPr>
        <w:suppressAutoHyphens/>
        <w:spacing w:after="0" w:line="240" w:lineRule="auto"/>
        <w:ind w:firstLine="450"/>
        <w:jc w:val="both"/>
        <w:rPr>
          <w:rFonts w:ascii="Times New Roman" w:hAnsi="Times New Roman" w:eastAsia="SimSun" w:cs="Times New Roman"/>
          <w:i/>
          <w:iCs/>
          <w:sz w:val="24"/>
          <w:szCs w:val="24"/>
          <w:lang w:eastAsia="ru-RU"/>
        </w:rPr>
      </w:pPr>
      <w:r>
        <w:rPr>
          <w:rFonts w:ascii="Times New Roman" w:hAnsi="Times New Roman" w:eastAsia="SimSun" w:cs="Times New Roman"/>
          <w:sz w:val="24"/>
          <w:szCs w:val="24"/>
          <w:lang w:eastAsia="ru-RU"/>
        </w:rPr>
        <w:t xml:space="preserve">Оцінювання здобувача освіти орієнтовано на отримання балів за активність на семінарських заняттях, виконання завдань для самостійної роботи, а також виконання завдань, які здатні розвинути практичні уміння та навички за які можуть бути, за рішенням викладача, нараховані додаткові (бонусні) бали (участь у круглих столах, наукових конференціях, олімпіадах та наукових конкурсах серед студентів). </w:t>
      </w:r>
    </w:p>
    <w:bookmarkEnd w:id="2"/>
    <w:bookmarkEnd w:id="3"/>
    <w:p w14:paraId="2EC1A839">
      <w:pPr>
        <w:widowControl w:val="0"/>
        <w:tabs>
          <w:tab w:val="left" w:pos="834"/>
        </w:tabs>
        <w:autoSpaceDE w:val="0"/>
        <w:autoSpaceDN w:val="0"/>
        <w:spacing w:before="102" w:after="0" w:line="237" w:lineRule="auto"/>
        <w:ind w:left="709"/>
        <w:jc w:val="both"/>
        <w:rPr>
          <w:rFonts w:ascii="Times New Roman" w:hAnsi="Times New Roman" w:eastAsia="Calibri" w:cs="Times New Roman"/>
          <w:sz w:val="24"/>
          <w:szCs w:val="24"/>
        </w:rPr>
      </w:pPr>
    </w:p>
    <w:p w14:paraId="13558793">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Рекомендовані джерела інформації.</w:t>
      </w:r>
    </w:p>
    <w:p w14:paraId="687BF627">
      <w:pPr>
        <w:pStyle w:val="12"/>
        <w:spacing w:before="0" w:beforeAutospacing="0" w:after="0" w:afterAutospacing="0"/>
        <w:ind w:left="360"/>
        <w:jc w:val="center"/>
      </w:pPr>
      <w:r>
        <w:rPr>
          <w:iCs/>
        </w:rPr>
        <w:t>Нормативно – правові акти з відповідними змінами та доповненнями</w:t>
      </w:r>
    </w:p>
    <w:p w14:paraId="769F1300">
      <w:pPr>
        <w:pStyle w:val="12"/>
        <w:numPr>
          <w:ilvl w:val="0"/>
          <w:numId w:val="1"/>
        </w:numPr>
        <w:spacing w:before="0" w:beforeAutospacing="0" w:after="0" w:afterAutospacing="0"/>
        <w:jc w:val="both"/>
        <w:textAlignment w:val="baseline"/>
      </w:pPr>
      <w:r>
        <w:t>Паризька конвенція з охорони промислової власності. Прийнята 20 березня 1883 року. Дата набрання чинності для України 25 грудня 1991 р. URL: http://zakon.rada.gov.ua/laws/show/995_123</w:t>
      </w:r>
    </w:p>
    <w:p w14:paraId="4FA8E93A">
      <w:pPr>
        <w:pStyle w:val="12"/>
        <w:numPr>
          <w:ilvl w:val="0"/>
          <w:numId w:val="1"/>
        </w:numPr>
        <w:spacing w:before="0" w:beforeAutospacing="0" w:after="0" w:afterAutospacing="0"/>
        <w:jc w:val="both"/>
        <w:textAlignment w:val="baseline"/>
      </w:pPr>
      <w:r>
        <w:t>Конвенція про заснування Всесвітньої організації інтелектуальної власності. Дата набрання чинності для України 26 квітня 1970 р. [Електронний ресурс]. URL: http://zakon.rada.gov.ua/laws/show/995_169</w:t>
      </w:r>
    </w:p>
    <w:p w14:paraId="1E082439">
      <w:pPr>
        <w:pStyle w:val="12"/>
        <w:numPr>
          <w:ilvl w:val="0"/>
          <w:numId w:val="1"/>
        </w:numPr>
        <w:spacing w:before="0" w:beforeAutospacing="0" w:after="0" w:afterAutospacing="0"/>
        <w:jc w:val="both"/>
        <w:textAlignment w:val="baseline"/>
      </w:pPr>
      <w:r>
        <w:t>Угода з торговельних аспектів прав інтелектуальної власності (ТРІПС) від 15.04.1994. [Електронний ресурс]. URL: http://zakon.rada.gov.ua/laws/show/981_018</w:t>
      </w:r>
    </w:p>
    <w:p w14:paraId="3962637E">
      <w:pPr>
        <w:pStyle w:val="12"/>
        <w:numPr>
          <w:ilvl w:val="0"/>
          <w:numId w:val="1"/>
        </w:numPr>
        <w:spacing w:before="0" w:beforeAutospacing="0" w:after="0" w:afterAutospacing="0"/>
        <w:jc w:val="both"/>
        <w:textAlignment w:val="baseline"/>
      </w:pPr>
      <w:r>
        <w:t>Договір про патентну кооперацію (РСТ) від 19 червня 1970 року. Дата набрання чинності для України 25 грудня 1991р. [Електронний ресурс]. URL: http://zakon.rada.gov.ua/laws/show/895_001</w:t>
      </w:r>
    </w:p>
    <w:p w14:paraId="0E8FA8E0">
      <w:pPr>
        <w:pStyle w:val="12"/>
        <w:numPr>
          <w:ilvl w:val="0"/>
          <w:numId w:val="1"/>
        </w:numPr>
        <w:spacing w:before="0" w:beforeAutospacing="0" w:after="0" w:afterAutospacing="0"/>
        <w:jc w:val="both"/>
        <w:textAlignment w:val="baseline"/>
      </w:pPr>
      <w:r>
        <w:t>Договір про закони щодо товарних знаків (TLT). Дата набрання чинності для України 1 серпня 1996р. [Електронний ресурс]. URL: http://zakon.rada.gov.ua/laws/show/995_102</w:t>
      </w:r>
    </w:p>
    <w:p w14:paraId="2FE6ED5C">
      <w:pPr>
        <w:pStyle w:val="12"/>
        <w:numPr>
          <w:ilvl w:val="0"/>
          <w:numId w:val="1"/>
        </w:numPr>
        <w:spacing w:before="0" w:beforeAutospacing="0" w:after="0" w:afterAutospacing="0"/>
        <w:jc w:val="both"/>
        <w:textAlignment w:val="baseline"/>
      </w:pPr>
      <w:r>
        <w:t>Міжнародна конвенція з охорони нових сортів рослин. Дата набрання чинності для України 3 листопада 1995р. [Електронний ресурс]. URL: http://zakon.rada.gov.ua/laws/show/995_856</w:t>
      </w:r>
    </w:p>
    <w:p w14:paraId="492CA64F">
      <w:pPr>
        <w:pStyle w:val="12"/>
        <w:numPr>
          <w:ilvl w:val="0"/>
          <w:numId w:val="1"/>
        </w:numPr>
        <w:spacing w:before="0" w:beforeAutospacing="0" w:after="0" w:afterAutospacing="0"/>
        <w:jc w:val="both"/>
        <w:textAlignment w:val="baseline"/>
      </w:pPr>
      <w:r>
        <w:t>Будапештський договір про міжнародне визнання депонування мікроорганізмів з метою патентної процедури. Дата набрання чинності для України 2 липня 1997р. [Електронний ресурс]. URL: http://zakon.rada.gov.ua/laws/show/995_039</w:t>
      </w:r>
    </w:p>
    <w:p w14:paraId="50F4EDE7">
      <w:pPr>
        <w:pStyle w:val="12"/>
        <w:numPr>
          <w:ilvl w:val="0"/>
          <w:numId w:val="1"/>
        </w:numPr>
        <w:spacing w:before="0" w:beforeAutospacing="0" w:after="0" w:afterAutospacing="0"/>
        <w:jc w:val="both"/>
        <w:textAlignment w:val="baseline"/>
      </w:pPr>
      <w:r>
        <w:t xml:space="preserve">Гаазька угода про міжнародну реєстрацію промислових зразків. Дата набрання чинності для України 28 серпня 2002 р. [Електронний ресурс]. URL: </w:t>
      </w:r>
      <w:r>
        <w:fldChar w:fldCharType="begin"/>
      </w:r>
      <w:r>
        <w:instrText xml:space="preserve"> HYPERLINK "http://zakon.rada.gov.ua/laws/show/995_132" </w:instrText>
      </w:r>
      <w:r>
        <w:fldChar w:fldCharType="separate"/>
      </w:r>
      <w:r>
        <w:rPr>
          <w:rStyle w:val="7"/>
          <w:color w:val="auto"/>
          <w:u w:val="none"/>
        </w:rPr>
        <w:t>http://zakon.rada.gov.ua/laws/show/995_132</w:t>
      </w:r>
      <w:r>
        <w:rPr>
          <w:rStyle w:val="7"/>
          <w:color w:val="auto"/>
          <w:u w:val="none"/>
        </w:rPr>
        <w:fldChar w:fldCharType="end"/>
      </w:r>
    </w:p>
    <w:p w14:paraId="5F57A283">
      <w:pPr>
        <w:pStyle w:val="12"/>
        <w:numPr>
          <w:ilvl w:val="0"/>
          <w:numId w:val="1"/>
        </w:numPr>
        <w:spacing w:before="0" w:beforeAutospacing="0" w:after="0" w:afterAutospacing="0"/>
        <w:jc w:val="both"/>
        <w:textAlignment w:val="baseline"/>
      </w:pPr>
      <w:r>
        <w:t xml:space="preserve">Додаткова угода до Гаазької угоди з міжнародного депонування промислових зразків (Підписана у Стокгольмі 14.07.1967 р.). Дата набрання чинності для України 28 серпня 2002 р. [Електронний ресурс]. URL: </w:t>
      </w:r>
      <w:r>
        <w:fldChar w:fldCharType="begin"/>
      </w:r>
      <w:r>
        <w:instrText xml:space="preserve"> HYPERLINK "http://zakon.rada.gov.ua/laws/show/995_133" </w:instrText>
      </w:r>
      <w:r>
        <w:fldChar w:fldCharType="separate"/>
      </w:r>
      <w:r>
        <w:rPr>
          <w:rStyle w:val="7"/>
          <w:color w:val="auto"/>
          <w:u w:val="none"/>
        </w:rPr>
        <w:t>http://zakon.rada.gov.ua/laws/show/995_133</w:t>
      </w:r>
      <w:r>
        <w:rPr>
          <w:rStyle w:val="7"/>
          <w:color w:val="auto"/>
          <w:u w:val="none"/>
        </w:rPr>
        <w:fldChar w:fldCharType="end"/>
      </w:r>
    </w:p>
    <w:p w14:paraId="40027580">
      <w:pPr>
        <w:pStyle w:val="12"/>
        <w:numPr>
          <w:ilvl w:val="0"/>
          <w:numId w:val="1"/>
        </w:numPr>
        <w:spacing w:before="0" w:beforeAutospacing="0" w:after="0" w:afterAutospacing="0"/>
        <w:jc w:val="both"/>
        <w:textAlignment w:val="baseline"/>
      </w:pPr>
      <w:r>
        <w:t xml:space="preserve">Мадридська угода про міжнародну реєстрацію знаків від 14 квітня 1891 року. Дата набрання чинності для України 25 грудня 1991р. [Електронний ресурс]. URL: </w:t>
      </w:r>
      <w:r>
        <w:fldChar w:fldCharType="begin"/>
      </w:r>
      <w:r>
        <w:instrText xml:space="preserve"> HYPERLINK "http://zakon.rada.gov.ua/laws/show/995_134" </w:instrText>
      </w:r>
      <w:r>
        <w:fldChar w:fldCharType="separate"/>
      </w:r>
      <w:r>
        <w:rPr>
          <w:rStyle w:val="7"/>
          <w:color w:val="auto"/>
          <w:u w:val="none"/>
        </w:rPr>
        <w:t>http://zakon.rada.gov.ua/laws/show/995_134</w:t>
      </w:r>
      <w:r>
        <w:rPr>
          <w:rStyle w:val="7"/>
          <w:color w:val="auto"/>
          <w:u w:val="none"/>
        </w:rPr>
        <w:fldChar w:fldCharType="end"/>
      </w:r>
    </w:p>
    <w:p w14:paraId="39627748">
      <w:pPr>
        <w:pStyle w:val="12"/>
        <w:numPr>
          <w:ilvl w:val="0"/>
          <w:numId w:val="1"/>
        </w:numPr>
        <w:spacing w:before="0" w:beforeAutospacing="0" w:after="0" w:afterAutospacing="0"/>
        <w:jc w:val="both"/>
        <w:textAlignment w:val="baseline"/>
      </w:pPr>
      <w:r>
        <w:t xml:space="preserve">Протокол до Мадридської угоди про міжнародну реєстрацію знаків. прийнятий в Мадриді 28 червня 1989  Дата набрання чинності для України 25 грудня 1991р. [Електронний ресурс]. URL: </w:t>
      </w:r>
      <w:r>
        <w:fldChar w:fldCharType="begin"/>
      </w:r>
      <w:r>
        <w:instrText xml:space="preserve"> HYPERLINK "http://zakon.rada.gov.ua/laws/show/995_583" </w:instrText>
      </w:r>
      <w:r>
        <w:fldChar w:fldCharType="separate"/>
      </w:r>
      <w:r>
        <w:rPr>
          <w:rStyle w:val="7"/>
          <w:color w:val="auto"/>
          <w:u w:val="none"/>
        </w:rPr>
        <w:t>http://zakon.rada.gov.ua/laws/show/995_583</w:t>
      </w:r>
      <w:r>
        <w:rPr>
          <w:rStyle w:val="7"/>
          <w:color w:val="auto"/>
          <w:u w:val="none"/>
        </w:rPr>
        <w:fldChar w:fldCharType="end"/>
      </w:r>
    </w:p>
    <w:p w14:paraId="1186DF73">
      <w:pPr>
        <w:pStyle w:val="12"/>
        <w:numPr>
          <w:ilvl w:val="0"/>
          <w:numId w:val="1"/>
        </w:numPr>
        <w:spacing w:before="0" w:beforeAutospacing="0" w:after="0" w:afterAutospacing="0"/>
        <w:jc w:val="both"/>
        <w:textAlignment w:val="baseline"/>
      </w:pPr>
      <w:r>
        <w:t xml:space="preserve">Ніццька угода про Міжнародну класифікацію товарів і послуг для реєстрації знаків від 15 червня 1957 р. Дата набрання чинності для України 29 грудня 2000р. [Електронний ресурс]. URL: </w:t>
      </w:r>
      <w:r>
        <w:fldChar w:fldCharType="begin"/>
      </w:r>
      <w:r>
        <w:instrText xml:space="preserve"> HYPERLINK "http://zakon.rada.gov.ua/laws/show/995_066" </w:instrText>
      </w:r>
      <w:r>
        <w:fldChar w:fldCharType="separate"/>
      </w:r>
      <w:r>
        <w:rPr>
          <w:rStyle w:val="7"/>
          <w:color w:val="auto"/>
          <w:u w:val="none"/>
        </w:rPr>
        <w:t>http://zakon.rada.gov.ua/laws/show/995_066</w:t>
      </w:r>
      <w:r>
        <w:rPr>
          <w:rStyle w:val="7"/>
          <w:color w:val="auto"/>
          <w:u w:val="none"/>
        </w:rPr>
        <w:fldChar w:fldCharType="end"/>
      </w:r>
    </w:p>
    <w:p w14:paraId="7E36ED87">
      <w:pPr>
        <w:pStyle w:val="12"/>
        <w:numPr>
          <w:ilvl w:val="0"/>
          <w:numId w:val="1"/>
        </w:numPr>
        <w:spacing w:before="0" w:beforeAutospacing="0" w:after="0" w:afterAutospacing="0"/>
        <w:jc w:val="both"/>
        <w:textAlignment w:val="baseline"/>
      </w:pPr>
      <w:r>
        <w:t xml:space="preserve">Сінгапурський договір ООН про право товарних знаків вiд 27.03.2006, ратифіковано ЗУ від 15 квітня 2009 року. [Електронний ресурс]. URL: </w:t>
      </w:r>
      <w:r>
        <w:fldChar w:fldCharType="begin"/>
      </w:r>
      <w:r>
        <w:instrText xml:space="preserve"> HYPERLINK "http://zakon.rada.gov.ua/laws/show/995_h54" </w:instrText>
      </w:r>
      <w:r>
        <w:fldChar w:fldCharType="separate"/>
      </w:r>
      <w:r>
        <w:rPr>
          <w:rStyle w:val="7"/>
          <w:color w:val="auto"/>
          <w:u w:val="none"/>
        </w:rPr>
        <w:t>http://zakon.rada.gov.ua/laws/show/995_h54</w:t>
      </w:r>
      <w:r>
        <w:rPr>
          <w:rStyle w:val="7"/>
          <w:color w:val="auto"/>
          <w:u w:val="none"/>
        </w:rPr>
        <w:fldChar w:fldCharType="end"/>
      </w:r>
    </w:p>
    <w:p w14:paraId="1C43616F">
      <w:pPr>
        <w:pStyle w:val="12"/>
        <w:numPr>
          <w:ilvl w:val="0"/>
          <w:numId w:val="1"/>
        </w:numPr>
        <w:spacing w:before="0" w:beforeAutospacing="0" w:after="0" w:afterAutospacing="0"/>
        <w:jc w:val="both"/>
        <w:textAlignment w:val="baseline"/>
      </w:pPr>
      <w:r>
        <w:t xml:space="preserve">Бернська конвенція про охорону літературних і художніх творів Паризький акт, дата прийняття 24.07.71, із змінами від 02.10.79. Дата набрання чинності для України - 31.05.1995р. [Електронний ресурс]. URL: </w:t>
      </w:r>
      <w:r>
        <w:fldChar w:fldCharType="begin"/>
      </w:r>
      <w:r>
        <w:instrText xml:space="preserve"> HYPERLINK "http://zakon.rada.gov.ua/laws/show/995_051" </w:instrText>
      </w:r>
      <w:r>
        <w:fldChar w:fldCharType="separate"/>
      </w:r>
      <w:r>
        <w:rPr>
          <w:rStyle w:val="7"/>
          <w:color w:val="auto"/>
          <w:u w:val="none"/>
        </w:rPr>
        <w:t>http://zakon.rada.gov.ua/laws/show/995_051</w:t>
      </w:r>
      <w:r>
        <w:rPr>
          <w:rStyle w:val="7"/>
          <w:color w:val="auto"/>
          <w:u w:val="none"/>
        </w:rPr>
        <w:fldChar w:fldCharType="end"/>
      </w:r>
    </w:p>
    <w:p w14:paraId="5FFDAFDF">
      <w:pPr>
        <w:pStyle w:val="12"/>
        <w:numPr>
          <w:ilvl w:val="0"/>
          <w:numId w:val="1"/>
        </w:numPr>
        <w:spacing w:before="0" w:beforeAutospacing="0" w:after="0" w:afterAutospacing="0"/>
        <w:jc w:val="both"/>
        <w:textAlignment w:val="baseline"/>
      </w:pPr>
      <w:r>
        <w:t xml:space="preserve">Всесвітня конвенція про авторське право, дата прийняття 06.09.52. Дата ратифікації - 23.12.93. Дата набрання чинності для України - 03.11.1995р. [Електронний ресурс]. URL: </w:t>
      </w:r>
      <w:r>
        <w:fldChar w:fldCharType="begin"/>
      </w:r>
      <w:r>
        <w:instrText xml:space="preserve"> HYPERLINK "http://zakon.rada.gov.ua/laws/show/995_052" </w:instrText>
      </w:r>
      <w:r>
        <w:fldChar w:fldCharType="separate"/>
      </w:r>
      <w:r>
        <w:rPr>
          <w:rStyle w:val="7"/>
          <w:color w:val="auto"/>
          <w:u w:val="none"/>
        </w:rPr>
        <w:t>http://zakon.rada.gov.ua/laws/show/995_052</w:t>
      </w:r>
      <w:r>
        <w:rPr>
          <w:rStyle w:val="7"/>
          <w:color w:val="auto"/>
          <w:u w:val="none"/>
        </w:rPr>
        <w:fldChar w:fldCharType="end"/>
      </w:r>
    </w:p>
    <w:p w14:paraId="2250E1F8">
      <w:pPr>
        <w:pStyle w:val="12"/>
        <w:numPr>
          <w:ilvl w:val="0"/>
          <w:numId w:val="1"/>
        </w:numPr>
        <w:spacing w:before="0" w:beforeAutospacing="0" w:after="0" w:afterAutospacing="0"/>
        <w:jc w:val="both"/>
        <w:textAlignment w:val="baseline"/>
      </w:pPr>
      <w:r>
        <w:t xml:space="preserve">Договір ВОІВ з авторського права, дата укладання 20.12.96. Дата приєднання - 20.09.2001, дата ратифікації - 23.12.93. Дата набрання чинності для України - 03.11.1995. [Електронний ресурс]. URL: </w:t>
      </w:r>
      <w:r>
        <w:fldChar w:fldCharType="begin"/>
      </w:r>
      <w:r>
        <w:instrText xml:space="preserve"> HYPERLINK "http://zakon.rada.gov.ua/laws/show/995_770" </w:instrText>
      </w:r>
      <w:r>
        <w:fldChar w:fldCharType="separate"/>
      </w:r>
      <w:r>
        <w:rPr>
          <w:rStyle w:val="7"/>
          <w:color w:val="auto"/>
          <w:u w:val="none"/>
        </w:rPr>
        <w:t>http://zakon.rada.gov.ua/laws/show/995_770</w:t>
      </w:r>
      <w:r>
        <w:rPr>
          <w:rStyle w:val="7"/>
          <w:color w:val="auto"/>
          <w:u w:val="none"/>
        </w:rPr>
        <w:fldChar w:fldCharType="end"/>
      </w:r>
    </w:p>
    <w:p w14:paraId="13F9A669">
      <w:pPr>
        <w:pStyle w:val="12"/>
        <w:numPr>
          <w:ilvl w:val="0"/>
          <w:numId w:val="1"/>
        </w:numPr>
        <w:spacing w:before="0" w:beforeAutospacing="0" w:after="0" w:afterAutospacing="0"/>
        <w:jc w:val="both"/>
        <w:textAlignment w:val="baseline"/>
      </w:pPr>
      <w:r>
        <w:t xml:space="preserve">Міжнародна конвенція про охорону прав виконавців, виробників фонограм і організацій мовлення (Римська конвенція), дата прийняття 26.10.61. Дата приєднання України - 20.09.2001р. [Електронний ресурс]. URL: </w:t>
      </w:r>
      <w:r>
        <w:fldChar w:fldCharType="begin"/>
      </w:r>
      <w:r>
        <w:instrText xml:space="preserve"> HYPERLINK "http://zakon.rada.gov.ua/laws/show/995_763" </w:instrText>
      </w:r>
      <w:r>
        <w:fldChar w:fldCharType="separate"/>
      </w:r>
      <w:r>
        <w:rPr>
          <w:rStyle w:val="7"/>
          <w:color w:val="auto"/>
          <w:u w:val="none"/>
        </w:rPr>
        <w:t>http://zakon.rada.gov.ua/laws/show/995_763</w:t>
      </w:r>
      <w:r>
        <w:rPr>
          <w:rStyle w:val="7"/>
          <w:color w:val="auto"/>
          <w:u w:val="none"/>
        </w:rPr>
        <w:fldChar w:fldCharType="end"/>
      </w:r>
    </w:p>
    <w:p w14:paraId="6B71D046">
      <w:pPr>
        <w:pStyle w:val="12"/>
        <w:numPr>
          <w:ilvl w:val="0"/>
          <w:numId w:val="1"/>
        </w:numPr>
        <w:spacing w:before="0" w:beforeAutospacing="0" w:after="0" w:afterAutospacing="0"/>
        <w:jc w:val="both"/>
        <w:textAlignment w:val="baseline"/>
      </w:pPr>
      <w:r>
        <w:t xml:space="preserve">Конвенція про охорону інтересів виробників фонограм від незаконного відтворення їх фонограм (Конвенція по фонограмам), дата прийняття 29.10.71. Дата приєднання України - 15.06.1999р. [Електронний ресурс]. URL: </w:t>
      </w:r>
      <w:r>
        <w:fldChar w:fldCharType="begin"/>
      </w:r>
      <w:r>
        <w:instrText xml:space="preserve"> HYPERLINK "http://zakon.rada.gov.ua/laws/show/995_124" </w:instrText>
      </w:r>
      <w:r>
        <w:fldChar w:fldCharType="separate"/>
      </w:r>
      <w:r>
        <w:rPr>
          <w:rStyle w:val="7"/>
          <w:color w:val="auto"/>
          <w:u w:val="none"/>
        </w:rPr>
        <w:t>http://zakon.rada.gov.ua/laws/show/995_124</w:t>
      </w:r>
      <w:r>
        <w:rPr>
          <w:rStyle w:val="7"/>
          <w:color w:val="auto"/>
          <w:u w:val="none"/>
        </w:rPr>
        <w:fldChar w:fldCharType="end"/>
      </w:r>
    </w:p>
    <w:p w14:paraId="08500E3C">
      <w:pPr>
        <w:pStyle w:val="12"/>
        <w:numPr>
          <w:ilvl w:val="0"/>
          <w:numId w:val="1"/>
        </w:numPr>
        <w:spacing w:before="0" w:beforeAutospacing="0" w:after="0" w:afterAutospacing="0"/>
        <w:jc w:val="both"/>
        <w:textAlignment w:val="baseline"/>
      </w:pPr>
      <w:r>
        <w:t xml:space="preserve">Договір Всесвітньої організації інтелектуальної власності про виконання і фонограми, дата укладання 20.12.96р. Дата приєднання України - 20.09.2001р. [Електронний ресурс]. URL: </w:t>
      </w:r>
      <w:r>
        <w:fldChar w:fldCharType="begin"/>
      </w:r>
      <w:r>
        <w:instrText xml:space="preserve"> HYPERLINK "http://zakon.rada.gov.ua/laws/show/995_769" </w:instrText>
      </w:r>
      <w:r>
        <w:fldChar w:fldCharType="separate"/>
      </w:r>
      <w:r>
        <w:rPr>
          <w:rStyle w:val="7"/>
          <w:color w:val="auto"/>
          <w:u w:val="none"/>
        </w:rPr>
        <w:t>http://zakon.rada.gov.ua/laws/show/995_769</w:t>
      </w:r>
      <w:r>
        <w:rPr>
          <w:rStyle w:val="7"/>
          <w:color w:val="auto"/>
          <w:u w:val="none"/>
        </w:rPr>
        <w:fldChar w:fldCharType="end"/>
      </w:r>
    </w:p>
    <w:p w14:paraId="023ED091">
      <w:pPr>
        <w:pStyle w:val="12"/>
        <w:numPr>
          <w:ilvl w:val="0"/>
          <w:numId w:val="1"/>
        </w:numPr>
        <w:spacing w:before="0" w:beforeAutospacing="0" w:after="0" w:afterAutospacing="0"/>
        <w:jc w:val="both"/>
        <w:textAlignment w:val="baseline"/>
      </w:pPr>
      <w:r>
        <w:t xml:space="preserve">Цивільний кодекс України, від 16 січня 2003 року. Книга 4. [Електронний ресурс]. URL: </w:t>
      </w:r>
      <w:r>
        <w:fldChar w:fldCharType="begin"/>
      </w:r>
      <w:r>
        <w:instrText xml:space="preserve"> HYPERLINK "http://zakon.rada.gov.ua/laws/show/435-15" </w:instrText>
      </w:r>
      <w:r>
        <w:fldChar w:fldCharType="separate"/>
      </w:r>
      <w:r>
        <w:rPr>
          <w:rStyle w:val="7"/>
          <w:color w:val="auto"/>
          <w:u w:val="none"/>
        </w:rPr>
        <w:t>http://zakon.rada.gov.ua/laws/show/435-15</w:t>
      </w:r>
      <w:r>
        <w:rPr>
          <w:rStyle w:val="7"/>
          <w:color w:val="auto"/>
          <w:u w:val="none"/>
        </w:rPr>
        <w:fldChar w:fldCharType="end"/>
      </w:r>
    </w:p>
    <w:p w14:paraId="3ED40A11">
      <w:pPr>
        <w:pStyle w:val="12"/>
        <w:numPr>
          <w:ilvl w:val="0"/>
          <w:numId w:val="1"/>
        </w:numPr>
        <w:spacing w:before="0" w:beforeAutospacing="0" w:after="0" w:afterAutospacing="0"/>
        <w:jc w:val="both"/>
        <w:textAlignment w:val="baseline"/>
      </w:pPr>
      <w:r>
        <w:t xml:space="preserve">Господарський кодекс України, від 16 січня 2003 року. Гл. 3, 16. [Електронний ресурс]. URL: </w:t>
      </w:r>
      <w:r>
        <w:fldChar w:fldCharType="begin"/>
      </w:r>
      <w:r>
        <w:instrText xml:space="preserve"> HYPERLINK "http://zakon.rada.gov.ua/laws/show/436-15" </w:instrText>
      </w:r>
      <w:r>
        <w:fldChar w:fldCharType="separate"/>
      </w:r>
      <w:r>
        <w:rPr>
          <w:rStyle w:val="7"/>
          <w:color w:val="auto"/>
          <w:u w:val="none"/>
        </w:rPr>
        <w:t>http://zakon.rada.gov.ua/laws/show/436-15</w:t>
      </w:r>
      <w:r>
        <w:rPr>
          <w:rStyle w:val="7"/>
          <w:color w:val="auto"/>
          <w:u w:val="none"/>
        </w:rPr>
        <w:fldChar w:fldCharType="end"/>
      </w:r>
    </w:p>
    <w:p w14:paraId="6792FB47">
      <w:pPr>
        <w:pStyle w:val="12"/>
        <w:numPr>
          <w:ilvl w:val="0"/>
          <w:numId w:val="1"/>
        </w:numPr>
        <w:spacing w:before="0" w:beforeAutospacing="0" w:after="0" w:afterAutospacing="0"/>
        <w:jc w:val="both"/>
        <w:textAlignment w:val="baseline"/>
      </w:pPr>
      <w:r>
        <w:t xml:space="preserve">Закон України  «Про охорону прав на винаходи і корисні моделі» в редакції Закону України  від 01.06.2000 N 1771-III. [Електронний ресурс]. URL: </w:t>
      </w:r>
      <w:r>
        <w:fldChar w:fldCharType="begin"/>
      </w:r>
      <w:r>
        <w:instrText xml:space="preserve"> HYPERLINK "http://zakon.rada.gov.ua/laws/show/3687-12" </w:instrText>
      </w:r>
      <w:r>
        <w:fldChar w:fldCharType="separate"/>
      </w:r>
      <w:r>
        <w:rPr>
          <w:rStyle w:val="7"/>
          <w:color w:val="auto"/>
          <w:u w:val="none"/>
        </w:rPr>
        <w:t>http://zakon.rada.gov.ua/laws/show/3687-12</w:t>
      </w:r>
      <w:r>
        <w:rPr>
          <w:rStyle w:val="7"/>
          <w:color w:val="auto"/>
          <w:u w:val="none"/>
        </w:rPr>
        <w:fldChar w:fldCharType="end"/>
      </w:r>
    </w:p>
    <w:p w14:paraId="0CBEC01E">
      <w:pPr>
        <w:pStyle w:val="12"/>
        <w:numPr>
          <w:ilvl w:val="0"/>
          <w:numId w:val="1"/>
        </w:numPr>
        <w:spacing w:before="0" w:beforeAutospacing="0" w:after="0" w:afterAutospacing="0"/>
        <w:jc w:val="both"/>
        <w:textAlignment w:val="baseline"/>
      </w:pPr>
      <w:r>
        <w:t xml:space="preserve">Закон України  «Про охорону прав на промислові зразки» від 15 грудня 1993 року № 3688-ХІІ. [Електронний ресурс]. URL: </w:t>
      </w:r>
      <w:r>
        <w:fldChar w:fldCharType="begin"/>
      </w:r>
      <w:r>
        <w:instrText xml:space="preserve"> HYPERLINK "http://zakon.rada.gov.ua/laws/show/3688-12" </w:instrText>
      </w:r>
      <w:r>
        <w:fldChar w:fldCharType="separate"/>
      </w:r>
      <w:r>
        <w:rPr>
          <w:rStyle w:val="7"/>
          <w:color w:val="auto"/>
          <w:u w:val="none"/>
        </w:rPr>
        <w:t>http://zakon.rada.gov.ua/laws/show/3688-12</w:t>
      </w:r>
      <w:r>
        <w:rPr>
          <w:rStyle w:val="7"/>
          <w:color w:val="auto"/>
          <w:u w:val="none"/>
        </w:rPr>
        <w:fldChar w:fldCharType="end"/>
      </w:r>
    </w:p>
    <w:p w14:paraId="0CDCF2E7">
      <w:pPr>
        <w:pStyle w:val="12"/>
        <w:numPr>
          <w:ilvl w:val="0"/>
          <w:numId w:val="1"/>
        </w:numPr>
        <w:spacing w:before="0" w:beforeAutospacing="0" w:after="0" w:afterAutospacing="0"/>
        <w:jc w:val="both"/>
        <w:textAlignment w:val="baseline"/>
      </w:pPr>
      <w:r>
        <w:t xml:space="preserve">Закон України  “Про охорону прав на знаки для товарів і послуг» від 15 грудня 1993 року № 3689-ХІІ. [Електронний ресурс]. URL: </w:t>
      </w:r>
      <w:r>
        <w:fldChar w:fldCharType="begin"/>
      </w:r>
      <w:r>
        <w:instrText xml:space="preserve"> HYPERLINK "http://zakon.rada.gov.ua/laws/show/3689-12" </w:instrText>
      </w:r>
      <w:r>
        <w:fldChar w:fldCharType="separate"/>
      </w:r>
      <w:r>
        <w:rPr>
          <w:rStyle w:val="7"/>
          <w:color w:val="auto"/>
          <w:u w:val="none"/>
        </w:rPr>
        <w:t>http://zakon.rada.gov.ua/laws/show/3689-12</w:t>
      </w:r>
      <w:r>
        <w:rPr>
          <w:rStyle w:val="7"/>
          <w:color w:val="auto"/>
          <w:u w:val="none"/>
        </w:rPr>
        <w:fldChar w:fldCharType="end"/>
      </w:r>
    </w:p>
    <w:p w14:paraId="135F3DA5">
      <w:pPr>
        <w:pStyle w:val="12"/>
        <w:numPr>
          <w:ilvl w:val="0"/>
          <w:numId w:val="1"/>
        </w:numPr>
        <w:spacing w:before="0" w:beforeAutospacing="0" w:after="0" w:afterAutospacing="0"/>
        <w:jc w:val="both"/>
        <w:textAlignment w:val="baseline"/>
      </w:pPr>
      <w:r>
        <w:t xml:space="preserve">Закон України  «Про охорону прав на зазначення походження товарів» від 16 червня 1999 р. № 752-14. [Електронний ресурс]. URL: </w:t>
      </w:r>
      <w:r>
        <w:fldChar w:fldCharType="begin"/>
      </w:r>
      <w:r>
        <w:instrText xml:space="preserve"> HYPERLINK "http://zakon.rada.gov.ua/laws/show/752-14" </w:instrText>
      </w:r>
      <w:r>
        <w:fldChar w:fldCharType="separate"/>
      </w:r>
      <w:r>
        <w:rPr>
          <w:rStyle w:val="7"/>
          <w:color w:val="auto"/>
          <w:u w:val="none"/>
        </w:rPr>
        <w:t>http://zakon.rada.gov.ua/laws/show/752-14</w:t>
      </w:r>
      <w:r>
        <w:rPr>
          <w:rStyle w:val="7"/>
          <w:color w:val="auto"/>
          <w:u w:val="none"/>
        </w:rPr>
        <w:fldChar w:fldCharType="end"/>
      </w:r>
    </w:p>
    <w:p w14:paraId="47CC9F7C">
      <w:pPr>
        <w:pStyle w:val="12"/>
        <w:numPr>
          <w:ilvl w:val="0"/>
          <w:numId w:val="1"/>
        </w:numPr>
        <w:spacing w:before="0" w:beforeAutospacing="0" w:after="0" w:afterAutospacing="0"/>
        <w:jc w:val="both"/>
        <w:textAlignment w:val="baseline"/>
      </w:pPr>
      <w:r>
        <w:t xml:space="preserve">Закон України  “Про охорону прав на топографії інтегральних мікросхем» від 5 листопада 1997 рок № 621/97-ВР. [Електронний ресурс]. </w:t>
      </w:r>
      <w:r>
        <w:rPr>
          <w:lang w:val="en-US"/>
        </w:rPr>
        <w:t>URL</w:t>
      </w:r>
      <w:r>
        <w:t xml:space="preserve">: </w:t>
      </w:r>
      <w:r>
        <w:fldChar w:fldCharType="begin"/>
      </w:r>
      <w:r>
        <w:instrText xml:space="preserve"> HYPERLINK "http://zakon.rada.gov.ua/laws/show/621/97-%D0%B2%D1%80" </w:instrText>
      </w:r>
      <w:r>
        <w:fldChar w:fldCharType="separate"/>
      </w:r>
      <w:r>
        <w:rPr>
          <w:rStyle w:val="7"/>
          <w:color w:val="auto"/>
          <w:u w:val="none"/>
          <w:lang w:val="en-US"/>
        </w:rPr>
        <w:t>http</w:t>
      </w:r>
      <w:r>
        <w:rPr>
          <w:rStyle w:val="7"/>
          <w:color w:val="auto"/>
          <w:u w:val="none"/>
        </w:rPr>
        <w:t>://</w:t>
      </w:r>
      <w:r>
        <w:rPr>
          <w:rStyle w:val="7"/>
          <w:color w:val="auto"/>
          <w:u w:val="none"/>
          <w:lang w:val="en-US"/>
        </w:rPr>
        <w:t>zakon</w:t>
      </w:r>
      <w:r>
        <w:rPr>
          <w:rStyle w:val="7"/>
          <w:color w:val="auto"/>
          <w:u w:val="none"/>
        </w:rPr>
        <w:t>.</w:t>
      </w:r>
      <w:r>
        <w:rPr>
          <w:rStyle w:val="7"/>
          <w:color w:val="auto"/>
          <w:u w:val="none"/>
          <w:lang w:val="en-US"/>
        </w:rPr>
        <w:t>rada</w:t>
      </w:r>
      <w:r>
        <w:rPr>
          <w:rStyle w:val="7"/>
          <w:color w:val="auto"/>
          <w:u w:val="none"/>
        </w:rPr>
        <w:t>.</w:t>
      </w:r>
      <w:r>
        <w:rPr>
          <w:rStyle w:val="7"/>
          <w:color w:val="auto"/>
          <w:u w:val="none"/>
          <w:lang w:val="en-US"/>
        </w:rPr>
        <w:t>gov</w:t>
      </w:r>
      <w:r>
        <w:rPr>
          <w:rStyle w:val="7"/>
          <w:color w:val="auto"/>
          <w:u w:val="none"/>
        </w:rPr>
        <w:t>.</w:t>
      </w:r>
      <w:r>
        <w:rPr>
          <w:rStyle w:val="7"/>
          <w:color w:val="auto"/>
          <w:u w:val="none"/>
          <w:lang w:val="en-US"/>
        </w:rPr>
        <w:t>ua</w:t>
      </w:r>
      <w:r>
        <w:rPr>
          <w:rStyle w:val="7"/>
          <w:color w:val="auto"/>
          <w:u w:val="none"/>
        </w:rPr>
        <w:t>/</w:t>
      </w:r>
      <w:r>
        <w:rPr>
          <w:rStyle w:val="7"/>
          <w:color w:val="auto"/>
          <w:u w:val="none"/>
          <w:lang w:val="en-US"/>
        </w:rPr>
        <w:t>laws</w:t>
      </w:r>
      <w:r>
        <w:rPr>
          <w:rStyle w:val="7"/>
          <w:color w:val="auto"/>
          <w:u w:val="none"/>
        </w:rPr>
        <w:t>/</w:t>
      </w:r>
      <w:r>
        <w:rPr>
          <w:rStyle w:val="7"/>
          <w:color w:val="auto"/>
          <w:u w:val="none"/>
          <w:lang w:val="en-US"/>
        </w:rPr>
        <w:t>show</w:t>
      </w:r>
      <w:r>
        <w:rPr>
          <w:rStyle w:val="7"/>
          <w:color w:val="auto"/>
          <w:u w:val="none"/>
        </w:rPr>
        <w:t>/621/97-%</w:t>
      </w:r>
      <w:r>
        <w:rPr>
          <w:rStyle w:val="7"/>
          <w:color w:val="auto"/>
          <w:u w:val="none"/>
          <w:lang w:val="en-US"/>
        </w:rPr>
        <w:t>D</w:t>
      </w:r>
      <w:r>
        <w:rPr>
          <w:rStyle w:val="7"/>
          <w:color w:val="auto"/>
          <w:u w:val="none"/>
        </w:rPr>
        <w:t>0%</w:t>
      </w:r>
      <w:r>
        <w:rPr>
          <w:rStyle w:val="7"/>
          <w:color w:val="auto"/>
          <w:u w:val="none"/>
          <w:lang w:val="en-US"/>
        </w:rPr>
        <w:t>B</w:t>
      </w:r>
      <w:r>
        <w:rPr>
          <w:rStyle w:val="7"/>
          <w:color w:val="auto"/>
          <w:u w:val="none"/>
        </w:rPr>
        <w:t>2%</w:t>
      </w:r>
      <w:r>
        <w:rPr>
          <w:rStyle w:val="7"/>
          <w:color w:val="auto"/>
          <w:u w:val="none"/>
          <w:lang w:val="en-US"/>
        </w:rPr>
        <w:t>D</w:t>
      </w:r>
      <w:r>
        <w:rPr>
          <w:rStyle w:val="7"/>
          <w:color w:val="auto"/>
          <w:u w:val="none"/>
        </w:rPr>
        <w:t>1%80</w:t>
      </w:r>
      <w:r>
        <w:rPr>
          <w:rStyle w:val="7"/>
          <w:color w:val="auto"/>
          <w:u w:val="none"/>
        </w:rPr>
        <w:fldChar w:fldCharType="end"/>
      </w:r>
    </w:p>
    <w:p w14:paraId="100F28E6">
      <w:pPr>
        <w:pStyle w:val="12"/>
        <w:spacing w:before="0" w:beforeAutospacing="0" w:after="0" w:afterAutospacing="0"/>
        <w:ind w:left="236"/>
        <w:jc w:val="center"/>
        <w:textAlignment w:val="baseline"/>
        <w:rPr>
          <w:lang w:val="uk-UA"/>
        </w:rPr>
      </w:pPr>
    </w:p>
    <w:p w14:paraId="30A0B2A8">
      <w:pPr>
        <w:pStyle w:val="12"/>
        <w:spacing w:before="0" w:beforeAutospacing="0" w:after="0" w:afterAutospacing="0"/>
        <w:ind w:left="236"/>
        <w:jc w:val="center"/>
        <w:textAlignment w:val="baseline"/>
        <w:rPr>
          <w:lang w:val="uk-UA"/>
        </w:rPr>
      </w:pPr>
      <w:r>
        <w:rPr>
          <w:lang w:val="uk-UA"/>
        </w:rPr>
        <w:t>Основна література:</w:t>
      </w:r>
    </w:p>
    <w:p w14:paraId="1FF2AC3A">
      <w:pPr>
        <w:pStyle w:val="12"/>
        <w:tabs>
          <w:tab w:val="left" w:pos="567"/>
        </w:tabs>
        <w:spacing w:before="0" w:beforeAutospacing="0" w:after="0" w:afterAutospacing="0"/>
        <w:ind w:left="236"/>
        <w:jc w:val="center"/>
        <w:textAlignment w:val="baseline"/>
        <w:rPr>
          <w:lang w:val="uk-UA"/>
        </w:rPr>
      </w:pPr>
    </w:p>
    <w:p w14:paraId="3BC5F4B4">
      <w:pPr>
        <w:pStyle w:val="19"/>
        <w:widowControl w:val="0"/>
        <w:numPr>
          <w:ilvl w:val="0"/>
          <w:numId w:val="1"/>
        </w:numPr>
        <w:tabs>
          <w:tab w:val="left" w:pos="567"/>
          <w:tab w:val="left" w:pos="1230"/>
        </w:tabs>
        <w:autoSpaceDE w:val="0"/>
        <w:autoSpaceDN w:val="0"/>
        <w:spacing w:after="0" w:line="242" w:lineRule="auto"/>
        <w:ind w:left="0" w:right="269"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Антонов</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М.</w:t>
      </w:r>
      <w:r>
        <w:rPr>
          <w:rFonts w:ascii="Times New Roman" w:hAnsi="Times New Roman" w:cs="Times New Roman"/>
          <w:spacing w:val="1"/>
          <w:sz w:val="24"/>
          <w:szCs w:val="24"/>
        </w:rPr>
        <w:t xml:space="preserve"> </w:t>
      </w:r>
      <w:r>
        <w:rPr>
          <w:rFonts w:ascii="Times New Roman" w:hAnsi="Times New Roman" w:cs="Times New Roman"/>
          <w:sz w:val="24"/>
          <w:szCs w:val="24"/>
        </w:rPr>
        <w:t>Інтелектуальна</w:t>
      </w:r>
      <w:r>
        <w:rPr>
          <w:rFonts w:ascii="Times New Roman" w:hAnsi="Times New Roman" w:cs="Times New Roman"/>
          <w:spacing w:val="1"/>
          <w:sz w:val="24"/>
          <w:szCs w:val="24"/>
        </w:rPr>
        <w:t xml:space="preserve"> </w:t>
      </w:r>
      <w:r>
        <w:rPr>
          <w:rFonts w:ascii="Times New Roman" w:hAnsi="Times New Roman" w:cs="Times New Roman"/>
          <w:sz w:val="24"/>
          <w:szCs w:val="24"/>
        </w:rPr>
        <w:t>власність</w:t>
      </w:r>
      <w:r>
        <w:rPr>
          <w:rFonts w:ascii="Times New Roman" w:hAnsi="Times New Roman" w:cs="Times New Roman"/>
          <w:spacing w:val="1"/>
          <w:sz w:val="24"/>
          <w:szCs w:val="24"/>
        </w:rPr>
        <w:t xml:space="preserve"> </w:t>
      </w:r>
      <w:r>
        <w:rPr>
          <w:rFonts w:ascii="Times New Roman" w:hAnsi="Times New Roman" w:cs="Times New Roman"/>
          <w:sz w:val="24"/>
          <w:szCs w:val="24"/>
        </w:rPr>
        <w:t>і</w:t>
      </w:r>
      <w:r>
        <w:rPr>
          <w:rFonts w:ascii="Times New Roman" w:hAnsi="Times New Roman" w:cs="Times New Roman"/>
          <w:spacing w:val="1"/>
          <w:sz w:val="24"/>
          <w:szCs w:val="24"/>
        </w:rPr>
        <w:t xml:space="preserve"> </w:t>
      </w:r>
      <w:r>
        <w:rPr>
          <w:rFonts w:ascii="Times New Roman" w:hAnsi="Times New Roman" w:cs="Times New Roman"/>
          <w:sz w:val="24"/>
          <w:szCs w:val="24"/>
        </w:rPr>
        <w:t>комп’ютерне</w:t>
      </w:r>
      <w:r>
        <w:rPr>
          <w:rFonts w:ascii="Times New Roman" w:hAnsi="Times New Roman" w:cs="Times New Roman"/>
          <w:spacing w:val="70"/>
          <w:sz w:val="24"/>
          <w:szCs w:val="24"/>
        </w:rPr>
        <w:t xml:space="preserve"> </w:t>
      </w:r>
      <w:r>
        <w:rPr>
          <w:rFonts w:ascii="Times New Roman" w:hAnsi="Times New Roman" w:cs="Times New Roman"/>
          <w:sz w:val="24"/>
          <w:szCs w:val="24"/>
        </w:rPr>
        <w:t>авторське</w:t>
      </w:r>
      <w:r>
        <w:rPr>
          <w:rFonts w:ascii="Times New Roman" w:hAnsi="Times New Roman" w:cs="Times New Roman"/>
          <w:spacing w:val="1"/>
          <w:sz w:val="24"/>
          <w:szCs w:val="24"/>
        </w:rPr>
        <w:t xml:space="preserve"> </w:t>
      </w:r>
      <w:r>
        <w:rPr>
          <w:rFonts w:ascii="Times New Roman" w:hAnsi="Times New Roman" w:cs="Times New Roman"/>
          <w:sz w:val="24"/>
          <w:szCs w:val="24"/>
        </w:rPr>
        <w:t>право.</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[2-е</w:t>
      </w:r>
      <w:r>
        <w:rPr>
          <w:rFonts w:ascii="Times New Roman" w:hAnsi="Times New Roman" w:cs="Times New Roman"/>
          <w:spacing w:val="1"/>
          <w:sz w:val="24"/>
          <w:szCs w:val="24"/>
        </w:rPr>
        <w:t xml:space="preserve"> </w:t>
      </w:r>
      <w:r>
        <w:rPr>
          <w:rFonts w:ascii="Times New Roman" w:hAnsi="Times New Roman" w:cs="Times New Roman"/>
          <w:sz w:val="24"/>
          <w:szCs w:val="24"/>
        </w:rPr>
        <w:t>вид.,</w:t>
      </w:r>
      <w:r>
        <w:rPr>
          <w:rFonts w:ascii="Times New Roman" w:hAnsi="Times New Roman" w:cs="Times New Roman"/>
          <w:spacing w:val="1"/>
          <w:sz w:val="24"/>
          <w:szCs w:val="24"/>
        </w:rPr>
        <w:t xml:space="preserve"> </w:t>
      </w:r>
      <w:r>
        <w:rPr>
          <w:rFonts w:ascii="Times New Roman" w:hAnsi="Times New Roman" w:cs="Times New Roman"/>
          <w:sz w:val="24"/>
          <w:szCs w:val="24"/>
        </w:rPr>
        <w:t>стереотип.]</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М.</w:t>
      </w:r>
      <w:r>
        <w:rPr>
          <w:rFonts w:ascii="Times New Roman" w:hAnsi="Times New Roman" w:cs="Times New Roman"/>
          <w:spacing w:val="2"/>
          <w:sz w:val="24"/>
          <w:szCs w:val="24"/>
        </w:rPr>
        <w:t xml:space="preserve"> </w:t>
      </w:r>
      <w:r>
        <w:rPr>
          <w:rFonts w:ascii="Times New Roman" w:hAnsi="Times New Roman" w:cs="Times New Roman"/>
          <w:sz w:val="24"/>
          <w:szCs w:val="24"/>
        </w:rPr>
        <w:t>Антонов.</w:t>
      </w:r>
      <w:r>
        <w:rPr>
          <w:rFonts w:ascii="Times New Roman" w:hAnsi="Times New Roman" w:cs="Times New Roman"/>
          <w:spacing w:val="2"/>
          <w:sz w:val="24"/>
          <w:szCs w:val="24"/>
        </w:rPr>
        <w:t xml:space="preserve"> </w:t>
      </w:r>
      <w:r>
        <w:rPr>
          <w:rFonts w:ascii="Times New Roman" w:hAnsi="Times New Roman" w:cs="Times New Roman"/>
          <w:sz w:val="24"/>
          <w:szCs w:val="24"/>
        </w:rPr>
        <w:t>– К.</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z w:val="24"/>
          <w:szCs w:val="24"/>
        </w:rPr>
        <w:t>КНТ,</w:t>
      </w:r>
      <w:r>
        <w:rPr>
          <w:rFonts w:ascii="Times New Roman" w:hAnsi="Times New Roman" w:cs="Times New Roman"/>
          <w:spacing w:val="2"/>
          <w:sz w:val="24"/>
          <w:szCs w:val="24"/>
        </w:rPr>
        <w:t xml:space="preserve"> </w:t>
      </w:r>
      <w:r>
        <w:rPr>
          <w:rFonts w:ascii="Times New Roman" w:hAnsi="Times New Roman" w:cs="Times New Roman"/>
          <w:sz w:val="24"/>
          <w:szCs w:val="24"/>
        </w:rPr>
        <w:t>2006.</w:t>
      </w:r>
      <w:r>
        <w:rPr>
          <w:rFonts w:ascii="Times New Roman" w:hAnsi="Times New Roman" w:cs="Times New Roman"/>
          <w:spacing w:val="2"/>
          <w:sz w:val="24"/>
          <w:szCs w:val="24"/>
        </w:rPr>
        <w:t xml:space="preserve"> </w:t>
      </w:r>
      <w:r>
        <w:rPr>
          <w:rFonts w:ascii="Times New Roman" w:hAnsi="Times New Roman" w:cs="Times New Roman"/>
          <w:sz w:val="24"/>
          <w:szCs w:val="24"/>
        </w:rPr>
        <w:t>– 520 с.</w:t>
      </w:r>
    </w:p>
    <w:p w14:paraId="344969BE">
      <w:pPr>
        <w:pStyle w:val="19"/>
        <w:widowControl w:val="0"/>
        <w:numPr>
          <w:ilvl w:val="0"/>
          <w:numId w:val="1"/>
        </w:numPr>
        <w:tabs>
          <w:tab w:val="left" w:pos="567"/>
          <w:tab w:val="left" w:pos="1230"/>
        </w:tabs>
        <w:autoSpaceDE w:val="0"/>
        <w:autoSpaceDN w:val="0"/>
        <w:spacing w:after="0" w:line="240" w:lineRule="auto"/>
        <w:ind w:left="0" w:right="270" w:firstLine="0"/>
        <w:contextualSpacing w:val="0"/>
        <w:jc w:val="both"/>
        <w:rPr>
          <w:rFonts w:ascii="Times New Roman" w:hAnsi="Times New Roman" w:cs="Times New Roman"/>
          <w:sz w:val="24"/>
          <w:szCs w:val="24"/>
        </w:rPr>
      </w:pPr>
      <w:r>
        <w:rPr>
          <w:rFonts w:ascii="Times New Roman" w:hAnsi="Times New Roman" w:cs="Times New Roman"/>
          <w:sz w:val="24"/>
          <w:szCs w:val="24"/>
        </w:rPr>
        <w:t>Бондаренко С. В. Авторське право та суміжні права : навч. посіб. / С. В.</w:t>
      </w:r>
      <w:r>
        <w:rPr>
          <w:rFonts w:ascii="Times New Roman" w:hAnsi="Times New Roman" w:cs="Times New Roman"/>
          <w:spacing w:val="-67"/>
          <w:sz w:val="24"/>
          <w:szCs w:val="24"/>
        </w:rPr>
        <w:t xml:space="preserve"> </w:t>
      </w:r>
      <w:r>
        <w:rPr>
          <w:rFonts w:ascii="Times New Roman" w:hAnsi="Times New Roman" w:cs="Times New Roman"/>
          <w:sz w:val="24"/>
          <w:szCs w:val="24"/>
        </w:rPr>
        <w:t>Бондаренко.</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Ін-т</w:t>
      </w:r>
      <w:r>
        <w:rPr>
          <w:rFonts w:ascii="Times New Roman" w:hAnsi="Times New Roman" w:cs="Times New Roman"/>
          <w:spacing w:val="5"/>
          <w:sz w:val="24"/>
          <w:szCs w:val="24"/>
        </w:rPr>
        <w:t xml:space="preserve"> </w:t>
      </w:r>
      <w:r>
        <w:rPr>
          <w:rFonts w:ascii="Times New Roman" w:hAnsi="Times New Roman" w:cs="Times New Roman"/>
          <w:sz w:val="24"/>
          <w:szCs w:val="24"/>
        </w:rPr>
        <w:t>інтел.</w:t>
      </w:r>
      <w:r>
        <w:rPr>
          <w:rFonts w:ascii="Times New Roman" w:hAnsi="Times New Roman" w:cs="Times New Roman"/>
          <w:spacing w:val="3"/>
          <w:sz w:val="24"/>
          <w:szCs w:val="24"/>
        </w:rPr>
        <w:t xml:space="preserve"> </w:t>
      </w:r>
      <w:r>
        <w:rPr>
          <w:rFonts w:ascii="Times New Roman" w:hAnsi="Times New Roman" w:cs="Times New Roman"/>
          <w:sz w:val="24"/>
          <w:szCs w:val="24"/>
        </w:rPr>
        <w:t>власн.</w:t>
      </w:r>
      <w:r>
        <w:rPr>
          <w:rFonts w:ascii="Times New Roman" w:hAnsi="Times New Roman" w:cs="Times New Roman"/>
          <w:spacing w:val="3"/>
          <w:sz w:val="24"/>
          <w:szCs w:val="24"/>
        </w:rPr>
        <w:t xml:space="preserve"> </w:t>
      </w:r>
      <w:r>
        <w:rPr>
          <w:rFonts w:ascii="Times New Roman" w:hAnsi="Times New Roman" w:cs="Times New Roman"/>
          <w:sz w:val="24"/>
          <w:szCs w:val="24"/>
        </w:rPr>
        <w:t>і</w:t>
      </w:r>
      <w:r>
        <w:rPr>
          <w:rFonts w:ascii="Times New Roman" w:hAnsi="Times New Roman" w:cs="Times New Roman"/>
          <w:spacing w:val="-5"/>
          <w:sz w:val="24"/>
          <w:szCs w:val="24"/>
        </w:rPr>
        <w:t xml:space="preserve"> </w:t>
      </w:r>
      <w:r>
        <w:rPr>
          <w:rFonts w:ascii="Times New Roman" w:hAnsi="Times New Roman" w:cs="Times New Roman"/>
          <w:sz w:val="24"/>
          <w:szCs w:val="24"/>
        </w:rPr>
        <w:t>права,</w:t>
      </w:r>
      <w:r>
        <w:rPr>
          <w:rFonts w:ascii="Times New Roman" w:hAnsi="Times New Roman" w:cs="Times New Roman"/>
          <w:spacing w:val="3"/>
          <w:sz w:val="24"/>
          <w:szCs w:val="24"/>
        </w:rPr>
        <w:t xml:space="preserve"> </w:t>
      </w:r>
      <w:r>
        <w:rPr>
          <w:rFonts w:ascii="Times New Roman" w:hAnsi="Times New Roman" w:cs="Times New Roman"/>
          <w:sz w:val="24"/>
          <w:szCs w:val="24"/>
        </w:rPr>
        <w:t>2008.</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288</w:t>
      </w:r>
      <w:r>
        <w:rPr>
          <w:rFonts w:ascii="Times New Roman" w:hAnsi="Times New Roman" w:cs="Times New Roman"/>
          <w:spacing w:val="1"/>
          <w:sz w:val="24"/>
          <w:szCs w:val="24"/>
        </w:rPr>
        <w:t xml:space="preserve"> </w:t>
      </w:r>
      <w:r>
        <w:rPr>
          <w:rFonts w:ascii="Times New Roman" w:hAnsi="Times New Roman" w:cs="Times New Roman"/>
          <w:sz w:val="24"/>
          <w:szCs w:val="24"/>
        </w:rPr>
        <w:t>с.</w:t>
      </w:r>
    </w:p>
    <w:p w14:paraId="7F6A7B61">
      <w:pPr>
        <w:pStyle w:val="19"/>
        <w:widowControl w:val="0"/>
        <w:numPr>
          <w:ilvl w:val="0"/>
          <w:numId w:val="1"/>
        </w:numPr>
        <w:tabs>
          <w:tab w:val="left" w:pos="567"/>
          <w:tab w:val="left" w:pos="1230"/>
        </w:tabs>
        <w:autoSpaceDE w:val="0"/>
        <w:autoSpaceDN w:val="0"/>
        <w:spacing w:after="0" w:line="240" w:lineRule="auto"/>
        <w:ind w:left="0" w:right="270" w:firstLine="0"/>
        <w:contextualSpacing w:val="0"/>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Управління інтелектуальною власністю в контексті науково-технічного розвитку економіки України: теорія, методологія, практика. Київ:</w:t>
      </w:r>
      <w:r>
        <w:rPr>
          <w:rFonts w:ascii="Times New Roman" w:hAnsi="Times New Roman" w:cs="Times New Roman"/>
          <w:sz w:val="24"/>
          <w:szCs w:val="24"/>
          <w:lang w:val="en-US"/>
        </w:rPr>
        <w:t xml:space="preserve"> </w:t>
      </w:r>
      <w:r>
        <w:rPr>
          <w:rFonts w:ascii="Times New Roman" w:hAnsi="Times New Roman" w:cs="Times New Roman"/>
          <w:sz w:val="24"/>
          <w:szCs w:val="24"/>
        </w:rPr>
        <w:t>ДКС центр, 2020. 392</w:t>
      </w:r>
      <w:r>
        <w:rPr>
          <w:rFonts w:ascii="Times New Roman" w:hAnsi="Times New Roman" w:cs="Times New Roman"/>
          <w:sz w:val="24"/>
          <w:szCs w:val="24"/>
          <w:lang w:val="en-US"/>
        </w:rPr>
        <w:t> </w:t>
      </w:r>
      <w:r>
        <w:rPr>
          <w:rFonts w:ascii="Times New Roman" w:hAnsi="Times New Roman" w:cs="Times New Roman"/>
          <w:sz w:val="24"/>
          <w:szCs w:val="24"/>
        </w:rPr>
        <w:t>с.</w:t>
      </w:r>
    </w:p>
    <w:p w14:paraId="330C44E1">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Управління інтелектуальною власністю: особливості теорії та методології. Ефективна економіка. № 8. 2017. (Index Copernicus та ін.). URL: http://www.economy.nayka.com.ua/?op=1&amp;z=8201.</w:t>
      </w:r>
    </w:p>
    <w:p w14:paraId="78BB4354">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Стратегічні напрями розвитку сфери інтелектуальної власності в системі науково-технічного забезпечення України. Економічні горизонти. Economic horizons: щокв. Наук. журнал. Умань. Держ. Пед. ун-т ім. Павла Тичини. 2018. № 4(7). С. 205–213.</w:t>
      </w:r>
    </w:p>
    <w:p w14:paraId="4312D451">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Парадигмальний підхід до управління інтелектуальною власністю в системі науково-технічного розвитку. Ефективна економіка. № 4. 2018. (Index Copernicus та ін.). URL: http://www.economy.nayka.com.ua/?op=1&amp;z=8211.</w:t>
      </w:r>
    </w:p>
    <w:p w14:paraId="4468095B">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Методологія складання прогнозів інтелектуального розвитку вітчизняної економіки. Ефективна економіка. № 8. 2018. (Index Copernicus та ін.). URL: http:// http://www.economy.nayka.com.ua/?op=1&amp;z=8305.</w:t>
      </w:r>
    </w:p>
    <w:p w14:paraId="663BD168">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Ретроспектива теоретичних підходів щодо сутності та змісту поняття інтелектуальної власності.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9672223:%D0%95%D0%BA%D0%BE%D0%BD." \o "Періодичне видання" </w:instrText>
      </w:r>
      <w:r>
        <w:fldChar w:fldCharType="separate"/>
      </w:r>
      <w:r>
        <w:rPr>
          <w:rStyle w:val="7"/>
          <w:rFonts w:ascii="Times New Roman" w:hAnsi="Times New Roman" w:cs="Times New Roman"/>
          <w:color w:val="auto"/>
          <w:sz w:val="24"/>
          <w:szCs w:val="24"/>
          <w:u w:val="none"/>
        </w:rPr>
        <w:t>Наукові праці МАУП. Серія: Економічні науки</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Київ. Міжрегіональна Академія управління персоналом. 2019. Вип. 1 (57). С. 27–33.</w:t>
      </w:r>
    </w:p>
    <w:p w14:paraId="1FDD6B75">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Братусь Г. А. Загальні особливості теорії інтелектуальної власності та її захисту. Сучасні питання економіки і права : зб. наук. праць. Київ : КМУ. 2019. Випуск 2(10). С. 9–16.</w:t>
      </w:r>
    </w:p>
    <w:p w14:paraId="0C7037D5">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Інтелектуальна власність в контексті розвитку постіндустріального суспільства.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"http://www.irbis-nbuv.gov.ua/cgi-bin/irbis_nbuv/cgiirbis_64.exe?Z21ID=&amp;I21DBN=UJRN&amp;P21DBN=UJRN&amp;S21STN=1&amp;S21REF=10&amp;S21FMT=JUU_all&amp;C21COM=S&amp;S21CNR=20&amp;S21P01=0&amp;S21P02=0&amp;S21P03=IJ=&amp;S21COLORTERMS=1&amp;S21STR=%D0%9624319" \o "Періодичне видання" </w:instrText>
      </w:r>
      <w:r>
        <w:fldChar w:fldCharType="separate"/>
      </w:r>
      <w:r>
        <w:rPr>
          <w:rStyle w:val="7"/>
          <w:rFonts w:ascii="Times New Roman" w:hAnsi="Times New Roman" w:cs="Times New Roman"/>
          <w:color w:val="auto"/>
          <w:sz w:val="24"/>
          <w:szCs w:val="24"/>
          <w:u w:val="none"/>
        </w:rPr>
        <w:t>Бізнес-навігатор</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Херсон : Вид. дім «Гельветика». 2019. Вип. 6.1–1. С. 61–66. (Index  Copernicus та ін.).</w:t>
      </w:r>
    </w:p>
    <w:p w14:paraId="481A8F11">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Сучасний стан та тенденції розвитку сфери інтелектуальної власності в Україні.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9668850:%D0%9C%D1%96%D0%B6%D0%BD.%D0%B5%D0%BA%D0%BE%D0%BD.%D0%B2%D1%96%D0%B4%D0%BD." \o "Періодичне видання" </w:instrText>
      </w:r>
      <w:r>
        <w:fldChar w:fldCharType="separate"/>
      </w:r>
      <w:r>
        <w:rPr>
          <w:rStyle w:val="7"/>
          <w:rFonts w:ascii="Times New Roman" w:hAnsi="Times New Roman" w:cs="Times New Roman"/>
          <w:color w:val="auto"/>
          <w:sz w:val="24"/>
          <w:szCs w:val="24"/>
          <w:u w:val="none"/>
        </w:rPr>
        <w:t>Науковий вісник Ужгородського національного університету. Серія: Міжнародні економічні відносини та світове господарство</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Ужгород. 2019. Вип. 28</w:t>
      </w:r>
      <w:r>
        <w:rPr>
          <w:rFonts w:ascii="Times New Roman" w:hAnsi="Times New Roman" w:cs="Times New Roman"/>
          <w:sz w:val="24"/>
          <w:szCs w:val="24"/>
          <w:lang w:val="en-US"/>
        </w:rPr>
        <w:t xml:space="preserve"> </w:t>
      </w:r>
      <w:r>
        <w:rPr>
          <w:rFonts w:ascii="Times New Roman" w:hAnsi="Times New Roman" w:cs="Times New Roman"/>
          <w:sz w:val="24"/>
          <w:szCs w:val="24"/>
        </w:rPr>
        <w:t>(1). С. 51–56. (Index Copernicus та ін.).</w:t>
      </w:r>
    </w:p>
    <w:p w14:paraId="3DEF4ADB">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Управління знаннями як основна структурна компонента розвитку інтелектуальної власності.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9672223:%D0%95%D0%BA%D0%BE%D0%BD." \o "Періодичне видання" </w:instrText>
      </w:r>
      <w:r>
        <w:fldChar w:fldCharType="separate"/>
      </w:r>
      <w:r>
        <w:rPr>
          <w:rStyle w:val="7"/>
          <w:rFonts w:ascii="Times New Roman" w:hAnsi="Times New Roman" w:cs="Times New Roman"/>
          <w:color w:val="auto"/>
          <w:sz w:val="24"/>
          <w:szCs w:val="24"/>
          <w:u w:val="none"/>
        </w:rPr>
        <w:t>Наукові праці МАУП. Серія: Економічні науки</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Київ. Міжрегіональна Академія управління персоналом, 2019. Вип. 2 (58). С. 32–39. (0,5 д. а.).</w:t>
      </w:r>
    </w:p>
    <w:p w14:paraId="20177892">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Генезис державного регулювання системи освіти як пріоритетного напряму економіки знань.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"http://www.irbis-nbuv.gov.ua/cgi-bin/irbis_nbuv/cgiirbis_64.exe?Z21ID=&amp;I21DBN=UJRN&amp;P21DBN=UJRN&amp;S21STN=1&amp;S21REF=10&amp;S21FMT=JUU_all&amp;C21COM=S&amp;S21CNR=20&amp;S21P01=0&amp;S21P02=0&amp;S21P03=IJ=&amp;S21COLORTERMS=1&amp;S21STR=%D0%96100599" \o "Періодичне видання" </w:instrText>
      </w:r>
      <w:r>
        <w:fldChar w:fldCharType="separate"/>
      </w:r>
      <w:r>
        <w:rPr>
          <w:rStyle w:val="7"/>
          <w:rFonts w:ascii="Times New Roman" w:hAnsi="Times New Roman" w:cs="Times New Roman"/>
          <w:color w:val="auto"/>
          <w:sz w:val="24"/>
          <w:szCs w:val="24"/>
          <w:u w:val="none"/>
        </w:rPr>
        <w:t>Інтелект XXI</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Київ. 2019. № 5. С. 30–35. (Index Copernicus та ін.).</w:t>
      </w:r>
    </w:p>
    <w:p w14:paraId="3F7937AE">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Братусь Г. А. Трансформаційний підхід до структурної архітектоніки інтелектуальної власності. </w:t>
      </w:r>
      <w:r>
        <w:rPr>
          <w:rFonts w:ascii="Times New Roman" w:hAnsi="Times New Roman" w:cs="Times New Roman"/>
          <w:iCs/>
          <w:sz w:val="24"/>
          <w:szCs w:val="24"/>
        </w:rPr>
        <w:t>Підприємництво та інновації</w:t>
      </w:r>
      <w:r>
        <w:rPr>
          <w:rFonts w:ascii="Times New Roman" w:hAnsi="Times New Roman" w:cs="Times New Roman"/>
          <w:sz w:val="24"/>
          <w:szCs w:val="24"/>
        </w:rPr>
        <w:t>. Київ : Вид. дім «Гельветика». 2019. № 10.  С. 31–38.</w:t>
      </w:r>
    </w:p>
    <w:p w14:paraId="2859E25B">
      <w:pPr>
        <w:numPr>
          <w:ilvl w:val="0"/>
          <w:numId w:val="1"/>
        </w:numPr>
        <w:tabs>
          <w:tab w:val="left" w:pos="567"/>
          <w:tab w:val="left" w:pos="900"/>
        </w:tabs>
        <w:spacing w:after="0" w:line="228" w:lineRule="auto"/>
        <w:jc w:val="both"/>
        <w:rPr>
          <w:rFonts w:ascii="Times New Roman" w:hAnsi="Times New Roman" w:cs="Times New Roman"/>
          <w:sz w:val="24"/>
          <w:szCs w:val="24"/>
        </w:rPr>
      </w:pPr>
      <w:r>
        <w:fldChar w:fldCharType="begin"/>
      </w:r>
      <w:r>
        <w:instrText xml:space="preserve"> HYPERLINK "http://www.irbis-nbuv.gov.ua/cgi-bin/irbis_nbuv/cgiirbis_64.exe?Z21ID=&amp;I21DBN=UJRN&amp;P21DBN=UJRN&amp;S21STN=1&amp;S21REF=10&amp;S21FMT=fullwebr&amp;C21COM=S&amp;S21CNR=20&amp;S21P01=0&amp;S21P02=0&amp;S21P03=A=&amp;S21COLORTERMS=1&amp;S21STR=%D0%91%D1%80%D0%B0%D1%82%D1%83%D1%81%D1%8C%20%D0%93$" \o "Пошук за автором" </w:instrText>
      </w:r>
      <w:r>
        <w:fldChar w:fldCharType="separate"/>
      </w:r>
      <w:r>
        <w:rPr>
          <w:rStyle w:val="7"/>
          <w:rFonts w:ascii="Times New Roman" w:hAnsi="Times New Roman" w:cs="Times New Roman"/>
          <w:color w:val="auto"/>
          <w:sz w:val="24"/>
          <w:szCs w:val="24"/>
          <w:u w:val="none"/>
        </w:rPr>
        <w:t>Братусь Г. А.</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Методологічні аспекти комерціалізації інтелектуальної власності як форми підприємницької активності в інноваційній сфері. </w:t>
      </w:r>
      <w:r>
        <w:fldChar w:fldCharType="begin"/>
      </w:r>
      <w:r>
        <w:instrText xml:space="preserve"> HYPERLINK "http://www.irbis-nbuv.gov.ua/cgi-bin/irbis_nbuv/cgiirbis_64.exe?Z21ID=&amp;I21DBN=UJRN&amp;P21DBN=UJRN&amp;S21STN=1&amp;S21REF=10&amp;S21FMT=JUU_all&amp;C21COM=S&amp;S21CNR=20&amp;S21P01=0&amp;S21P02=0&amp;S21P03=IJ=&amp;S21COLORTERMS=1&amp;S21STR=%D0%9623990" \o "Періодичне видання" </w:instrText>
      </w:r>
      <w:r>
        <w:fldChar w:fldCharType="separate"/>
      </w:r>
      <w:r>
        <w:rPr>
          <w:rStyle w:val="7"/>
          <w:rFonts w:ascii="Times New Roman" w:hAnsi="Times New Roman" w:cs="Times New Roman"/>
          <w:color w:val="auto"/>
          <w:sz w:val="24"/>
          <w:szCs w:val="24"/>
          <w:u w:val="none"/>
        </w:rPr>
        <w:t>Університетські наукові записки</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Хмельницький. Вид. ХУУП. 2019. № 4. С. 149–159. </w:t>
      </w:r>
    </w:p>
    <w:p w14:paraId="1B4D963A">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Братусь Г. А. Міжнародний досвід державного регулювання та стимулювання розвитку інтелектуальної власності. Вісник Одеського національного університету. Серія: Економіка. Одеса. 2019. Т. 24. Вип. 6. С. 44–49. (Index Copernicus та ін.).</w:t>
      </w:r>
    </w:p>
    <w:p w14:paraId="0A88E865">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Братусь Г. А., Могилевська О. Ю., Майдан С. В. Інтелектуальна власність як стратегічна складова бізнесу. Сучасні питання економіки і права : зб. наук. праць. Київ: КМУ. 2020. Випуск 1(11). С. 25–33. </w:t>
      </w:r>
    </w:p>
    <w:p w14:paraId="41481C72">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 Братусь Г. А. Організаційний механізм оцінки економічного стимулювання розвитку інтелектуальної власності. </w:t>
      </w:r>
      <w:r>
        <w:rPr>
          <w:rFonts w:ascii="Times New Roman" w:hAnsi="Times New Roman" w:cs="Times New Roman"/>
          <w:iCs/>
          <w:sz w:val="24"/>
          <w:szCs w:val="24"/>
        </w:rPr>
        <w:t>Підприємництво та інновації</w:t>
      </w:r>
      <w:r>
        <w:rPr>
          <w:rFonts w:ascii="Times New Roman" w:hAnsi="Times New Roman" w:cs="Times New Roman"/>
          <w:sz w:val="24"/>
          <w:szCs w:val="24"/>
        </w:rPr>
        <w:t xml:space="preserve">. Вид. дім «Гельветика». 2020. (11-1). С. 43–48. </w:t>
      </w:r>
    </w:p>
    <w:p w14:paraId="06780C45">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Братусь Г. А. Інформаційно-знаннєві ресурси в структурі інтелектуальної власності. Вчені записки Таврійського національного університету ім.. В.І. Вернадського. Серія: Економіка і управління. Київ : Вид. дім «Гельветика». Т. 31 (70). № 2. 2020. С. 45–51. (Index Copernicus та ін.)</w:t>
      </w:r>
      <w:r>
        <w:rPr>
          <w:rFonts w:ascii="Times New Roman" w:hAnsi="Times New Roman" w:cs="Times New Roman"/>
          <w:sz w:val="24"/>
          <w:szCs w:val="24"/>
          <w:shd w:val="clear" w:color="auto" w:fill="FFFFFF"/>
        </w:rPr>
        <w:t>.</w:t>
      </w:r>
    </w:p>
    <w:p w14:paraId="467B7826">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Братусь Г. А. Концептуальні засади оцінки інтелектуальної власності. Причорноморські економічні студії. Одеса. 2020. Вип. 52-1. С. 65–72. </w:t>
      </w:r>
    </w:p>
    <w:p w14:paraId="09BD35C8">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 Братусь Г. А. Комплексна оцінка рівня інтелектуального розвитку вітчизняної економіки. Держава та регіони. Серія: Економіка та підприємництво. Херсон : Вид. дім «Гельветика». 2020. № 2(113). С. 39–44. (Index Copernicus та ін.). </w:t>
      </w:r>
    </w:p>
    <w:p w14:paraId="3AC4E351">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Bratus H. </w:t>
      </w:r>
      <w:r>
        <w:rPr>
          <w:rFonts w:ascii="Times New Roman" w:hAnsi="Times New Roman" w:cs="Times New Roman"/>
          <w:sz w:val="24"/>
          <w:szCs w:val="24"/>
          <w:shd w:val="clear" w:color="auto" w:fill="FFFFFF"/>
          <w:lang w:val="en-US"/>
        </w:rPr>
        <w:t xml:space="preserve">Methodological aspects of creating evaluation model for intellectual property assessment. Economic Herald of State Higher Education Institution «Ukrainian State University of Chemical Technology». </w:t>
      </w:r>
      <w:r>
        <w:rPr>
          <w:rFonts w:ascii="Times New Roman" w:hAnsi="Times New Roman" w:cs="Times New Roman"/>
          <w:sz w:val="24"/>
          <w:szCs w:val="24"/>
          <w:shd w:val="clear" w:color="auto" w:fill="FFFFFF"/>
        </w:rPr>
        <w:t xml:space="preserve">Dnepro. 1(11). 2020. </w:t>
      </w:r>
      <w:r>
        <w:rPr>
          <w:rFonts w:ascii="Times New Roman" w:hAnsi="Times New Roman" w:cs="Times New Roman"/>
          <w:sz w:val="24"/>
          <w:szCs w:val="24"/>
        </w:rPr>
        <w:t>Р</w:t>
      </w:r>
      <w:r>
        <w:rPr>
          <w:rFonts w:ascii="Times New Roman" w:hAnsi="Times New Roman" w:cs="Times New Roman"/>
          <w:sz w:val="24"/>
          <w:szCs w:val="24"/>
          <w:shd w:val="clear" w:color="auto" w:fill="FFFFFF"/>
        </w:rPr>
        <w:t>. 35</w:t>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42. </w:t>
      </w:r>
      <w:r>
        <w:rPr>
          <w:rFonts w:ascii="Times New Roman" w:hAnsi="Times New Roman" w:cs="Times New Roman"/>
          <w:sz w:val="24"/>
          <w:szCs w:val="24"/>
        </w:rPr>
        <w:t>(Index Copernicus та ін.)</w:t>
      </w:r>
      <w:r>
        <w:rPr>
          <w:rFonts w:ascii="Times New Roman" w:hAnsi="Times New Roman" w:cs="Times New Roman"/>
          <w:sz w:val="24"/>
          <w:szCs w:val="24"/>
          <w:shd w:val="clear" w:color="auto" w:fill="FFFFFF"/>
        </w:rPr>
        <w:t>.</w:t>
      </w:r>
    </w:p>
    <w:p w14:paraId="2E5173F7">
      <w:pPr>
        <w:numPr>
          <w:ilvl w:val="0"/>
          <w:numId w:val="1"/>
        </w:numPr>
        <w:tabs>
          <w:tab w:val="left" w:pos="567"/>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Братусь Г. А. Питання формування фрактальної моделі управління об’єктами інтелектуальної власності. Науковий вісник Міжнародного гуманітарного університету. Серія: «Економіка і менеджмент». Вид. дім «Гельветика». 2020. Вип. 42. С. 114–118.</w:t>
      </w:r>
    </w:p>
    <w:p w14:paraId="2AD84824">
      <w:pPr>
        <w:numPr>
          <w:ilvl w:val="0"/>
          <w:numId w:val="1"/>
        </w:numPr>
        <w:tabs>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w:t>
      </w:r>
      <w:r>
        <w:rPr>
          <w:rFonts w:ascii="Times New Roman" w:hAnsi="Times New Roman" w:cs="Times New Roman"/>
          <w:sz w:val="24"/>
          <w:szCs w:val="24"/>
          <w:shd w:val="clear" w:color="auto" w:fill="FFFFFF"/>
        </w:rPr>
        <w:t>атусь Г.А., Мазур Ю.В., Каліна І.І. </w:t>
      </w:r>
      <w:r>
        <w:fldChar w:fldCharType="begin"/>
      </w:r>
      <w:r>
        <w:instrText xml:space="preserve"> HYPERLINK "http://journals.maup.com.ua/index.php/economics/article/view/1176" </w:instrText>
      </w:r>
      <w:r>
        <w:fldChar w:fldCharType="separate"/>
      </w:r>
      <w:r>
        <w:rPr>
          <w:rFonts w:ascii="Times New Roman" w:hAnsi="Times New Roman" w:cs="Times New Roman"/>
          <w:sz w:val="24"/>
          <w:szCs w:val="24"/>
          <w:shd w:val="clear" w:color="auto" w:fill="FFFFFF"/>
        </w:rPr>
        <w:t>Концептуалізація інноваційного розвитку національної економіки в умовах євроінтеграції</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"https://journals.maup.com.ua/index.php/economics/issue/view/175" </w:instrText>
      </w:r>
      <w:r>
        <w:fldChar w:fldCharType="separate"/>
      </w:r>
      <w:r>
        <w:rPr>
          <w:rFonts w:ascii="Times New Roman" w:hAnsi="Times New Roman" w:cs="Times New Roman"/>
          <w:sz w:val="24"/>
          <w:szCs w:val="24"/>
          <w:shd w:val="clear" w:color="auto" w:fill="FFFFFF"/>
        </w:rPr>
        <w:t>№ 4 (63) (2021): Наукові праці Міжрегіональної Академії управління персоналом. Економічні науки</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DOI: </w:t>
      </w:r>
      <w:r>
        <w:fldChar w:fldCharType="begin"/>
      </w:r>
      <w:r>
        <w:instrText xml:space="preserve"> HYPERLINK "https://doi.org/10.32689/2523-4536/63-2" </w:instrText>
      </w:r>
      <w:r>
        <w:fldChar w:fldCharType="separate"/>
      </w:r>
      <w:r>
        <w:rPr>
          <w:rFonts w:ascii="Times New Roman" w:hAnsi="Times New Roman" w:cs="Times New Roman"/>
          <w:sz w:val="24"/>
          <w:szCs w:val="24"/>
          <w:shd w:val="clear" w:color="auto" w:fill="FFFFFF"/>
        </w:rPr>
        <w:t>https://doi.org/10.32689/2523-4536/63-2</w:t>
      </w:r>
      <w:r>
        <w:rPr>
          <w:rFonts w:ascii="Times New Roman" w:hAnsi="Times New Roman" w:cs="Times New Roman"/>
          <w:sz w:val="24"/>
          <w:szCs w:val="24"/>
          <w:shd w:val="clear" w:color="auto" w:fill="FFFFFF"/>
        </w:rPr>
        <w:fldChar w:fldCharType="end"/>
      </w:r>
    </w:p>
    <w:p w14:paraId="4B519806">
      <w:pPr>
        <w:numPr>
          <w:ilvl w:val="0"/>
          <w:numId w:val="1"/>
        </w:numPr>
        <w:tabs>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Братусь Г.А., Васильчак С.В., Червінська Л. П. ФІНАНСУВАННЯ ІННОВАЦІЙНОЇ ДІЯЛЬНОСТІ ТА СТАЛОГО РОЗВИТКУ ПІДПРИЄМСТВ В РЕГІОНАХ В УМОВАХ ЦИФРОВІЗАЦІЇ ТА ЦИРКУЛЯРНОЇ ЕКОНОМІКИ. Науковий вісник Ужгородського національго університету. Видавничий дім «Гельветика». Випуск 56. 2025. С. 125-130.</w:t>
      </w:r>
    </w:p>
    <w:p w14:paraId="1441F0D4">
      <w:pPr>
        <w:numPr>
          <w:ilvl w:val="0"/>
          <w:numId w:val="1"/>
        </w:numPr>
        <w:shd w:val="clear" w:color="auto" w:fill="FFFFFF"/>
        <w:tabs>
          <w:tab w:val="left" w:pos="900"/>
        </w:tabs>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Братусь, Г. А., Каліна, І. І.,  Мазур, Ю. В. Цифрова трансформація та інноваційний маркетинг як ключові фактори підвищення конкурентоспроможності торговельної галузі. Наукові записки Львівського університету бізнесу та права. Серія економічна. Серія юридична. № 43. С. 349-357. 2024. </w:t>
      </w:r>
      <w:r>
        <w:fldChar w:fldCharType="begin"/>
      </w:r>
      <w:r>
        <w:instrText xml:space="preserve"> HYPERLINK "https://doi.org/10.5281/zenodo.15295109" </w:instrText>
      </w:r>
      <w:r>
        <w:fldChar w:fldCharType="separate"/>
      </w:r>
      <w:r>
        <w:rPr>
          <w:rFonts w:ascii="Times New Roman" w:hAnsi="Times New Roman" w:cs="Times New Roman"/>
          <w:sz w:val="24"/>
          <w:szCs w:val="24"/>
        </w:rPr>
        <w:t>https://doi.org/10.5281/zenodo.15295109</w:t>
      </w:r>
      <w:r>
        <w:rPr>
          <w:rFonts w:ascii="Times New Roman" w:hAnsi="Times New Roman" w:cs="Times New Roman"/>
          <w:sz w:val="24"/>
          <w:szCs w:val="24"/>
        </w:rPr>
        <w:fldChar w:fldCharType="end"/>
      </w:r>
    </w:p>
    <w:p w14:paraId="2C7DAA62">
      <w:pPr>
        <w:pStyle w:val="12"/>
        <w:numPr>
          <w:ilvl w:val="0"/>
          <w:numId w:val="1"/>
        </w:numPr>
        <w:jc w:val="both"/>
        <w:rPr>
          <w:lang w:val="en-US"/>
        </w:rPr>
      </w:pPr>
      <w:r>
        <w:rPr>
          <w:rStyle w:val="8"/>
          <w:b w:val="0"/>
          <w:lang w:val="en-US"/>
        </w:rPr>
        <w:t>Heim I.</w:t>
      </w:r>
      <w:r>
        <w:rPr>
          <w:lang w:val="en-US"/>
        </w:rPr>
        <w:t xml:space="preserve"> </w:t>
      </w:r>
      <w:r>
        <w:rPr>
          <w:rStyle w:val="6"/>
          <w:lang w:val="en-US"/>
        </w:rPr>
        <w:t>Intellectual Property Management: Interdisciplinary Knowledge for Business Decision-Making.</w:t>
      </w:r>
      <w:r>
        <w:rPr>
          <w:lang w:val="en-US"/>
        </w:rPr>
        <w:t xml:space="preserve"> Cham: Palgrave Macmillan / Springer, 2023. – 248 </w:t>
      </w:r>
      <w:r>
        <w:t>с</w:t>
      </w:r>
      <w:r>
        <w:rPr>
          <w:lang w:val="en-US"/>
        </w:rPr>
        <w:t>.</w:t>
      </w:r>
    </w:p>
    <w:p w14:paraId="6BFE3A0E">
      <w:pPr>
        <w:pStyle w:val="12"/>
        <w:numPr>
          <w:ilvl w:val="0"/>
          <w:numId w:val="1"/>
        </w:numPr>
        <w:jc w:val="both"/>
        <w:rPr>
          <w:lang w:val="en-US"/>
        </w:rPr>
      </w:pPr>
      <w:r>
        <w:rPr>
          <w:rStyle w:val="8"/>
          <w:b w:val="0"/>
          <w:lang w:val="en-US"/>
        </w:rPr>
        <w:t>World Intellectual Property Organization (WIPO).</w:t>
      </w:r>
      <w:r>
        <w:rPr>
          <w:lang w:val="en-US"/>
        </w:rPr>
        <w:t xml:space="preserve"> </w:t>
      </w:r>
      <w:r>
        <w:rPr>
          <w:rStyle w:val="6"/>
          <w:lang w:val="en-US"/>
        </w:rPr>
        <w:t>World Intellectual Property Indicators 2024.</w:t>
      </w:r>
      <w:r>
        <w:rPr>
          <w:lang w:val="en-US"/>
        </w:rPr>
        <w:t xml:space="preserve"> Geneva: WIPO, 2024</w:t>
      </w:r>
      <w:r>
        <w:rPr>
          <w:lang w:val="uk-UA"/>
        </w:rPr>
        <w:t>.</w:t>
      </w:r>
      <w:r>
        <w:rPr>
          <w:lang w:val="en-US"/>
        </w:rPr>
        <w:t xml:space="preserve"> URL:: </w:t>
      </w:r>
      <w:r>
        <w:fldChar w:fldCharType="begin"/>
      </w:r>
      <w:r>
        <w:instrText xml:space="preserve"> HYPERLINK "https://www.wipo.int" \t "_new" </w:instrText>
      </w:r>
      <w:r>
        <w:fldChar w:fldCharType="separate"/>
      </w:r>
      <w:r>
        <w:rPr>
          <w:rStyle w:val="7"/>
          <w:color w:val="auto"/>
          <w:u w:val="none"/>
          <w:lang w:val="en-US"/>
        </w:rPr>
        <w:t>https://www.wipo.int</w:t>
      </w:r>
      <w:r>
        <w:rPr>
          <w:rStyle w:val="7"/>
          <w:color w:val="auto"/>
          <w:u w:val="none"/>
          <w:lang w:val="en-US"/>
        </w:rPr>
        <w:fldChar w:fldCharType="end"/>
      </w:r>
    </w:p>
    <w:p w14:paraId="13061DBB">
      <w:pPr>
        <w:pStyle w:val="12"/>
        <w:numPr>
          <w:ilvl w:val="0"/>
          <w:numId w:val="1"/>
        </w:numPr>
        <w:jc w:val="both"/>
        <w:rPr>
          <w:lang w:val="en-US"/>
        </w:rPr>
      </w:pPr>
      <w:r>
        <w:rPr>
          <w:rStyle w:val="8"/>
          <w:b w:val="0"/>
          <w:lang w:val="en-US"/>
        </w:rPr>
        <w:t>World Intellectual Property Organization (WIPO).</w:t>
      </w:r>
      <w:r>
        <w:rPr>
          <w:lang w:val="en-US"/>
        </w:rPr>
        <w:t xml:space="preserve"> </w:t>
      </w:r>
      <w:r>
        <w:rPr>
          <w:rStyle w:val="6"/>
          <w:lang w:val="en-US"/>
        </w:rPr>
        <w:t>World Intellectual Property Report 2024: Making Innovation Policy Work for Development.</w:t>
      </w:r>
      <w:r>
        <w:rPr>
          <w:lang w:val="en-US"/>
        </w:rPr>
        <w:t xml:space="preserve"> Geneva: WIPO, 2024</w:t>
      </w:r>
      <w:r>
        <w:t xml:space="preserve"> URL:</w:t>
      </w:r>
      <w:r>
        <w:rPr>
          <w:lang w:val="en-US"/>
        </w:rPr>
        <w:t xml:space="preserve">: </w:t>
      </w:r>
      <w:r>
        <w:fldChar w:fldCharType="begin"/>
      </w:r>
      <w:r>
        <w:instrText xml:space="preserve"> HYPERLINK "https://www.wipo.int/publications" \t "_new" </w:instrText>
      </w:r>
      <w:r>
        <w:fldChar w:fldCharType="separate"/>
      </w:r>
      <w:r>
        <w:rPr>
          <w:rStyle w:val="7"/>
          <w:color w:val="auto"/>
          <w:u w:val="none"/>
          <w:lang w:val="en-US"/>
        </w:rPr>
        <w:t>https://www.wipo.int/publications</w:t>
      </w:r>
      <w:r>
        <w:rPr>
          <w:rStyle w:val="7"/>
          <w:color w:val="auto"/>
          <w:u w:val="none"/>
          <w:lang w:val="en-US"/>
        </w:rPr>
        <w:fldChar w:fldCharType="end"/>
      </w:r>
    </w:p>
    <w:p w14:paraId="6CAF3F1C">
      <w:pPr>
        <w:pStyle w:val="12"/>
        <w:numPr>
          <w:ilvl w:val="0"/>
          <w:numId w:val="1"/>
        </w:numPr>
        <w:jc w:val="both"/>
        <w:rPr>
          <w:lang w:val="en-US"/>
        </w:rPr>
      </w:pPr>
      <w:r>
        <w:rPr>
          <w:rStyle w:val="8"/>
          <w:b w:val="0"/>
          <w:lang w:val="en-US"/>
        </w:rPr>
        <w:t>European Enterprise Network.</w:t>
      </w:r>
      <w:r>
        <w:rPr>
          <w:lang w:val="en-US"/>
        </w:rPr>
        <w:t xml:space="preserve"> </w:t>
      </w:r>
      <w:r>
        <w:rPr>
          <w:rStyle w:val="6"/>
          <w:lang w:val="en-US"/>
        </w:rPr>
        <w:t>Intellectual Property Handbook for SMEs and Research Organizations.</w:t>
      </w:r>
      <w:r>
        <w:rPr>
          <w:lang w:val="en-US"/>
        </w:rPr>
        <w:t xml:space="preserve"> Bilbao: EEN Basque, 2024. URL:: https://eenbasque.net</w:t>
      </w:r>
    </w:p>
    <w:p w14:paraId="1A150D82">
      <w:pPr>
        <w:pStyle w:val="12"/>
        <w:numPr>
          <w:ilvl w:val="0"/>
          <w:numId w:val="1"/>
        </w:numPr>
        <w:jc w:val="both"/>
        <w:rPr>
          <w:lang w:val="en-US"/>
        </w:rPr>
      </w:pPr>
      <w:r>
        <w:rPr>
          <w:rStyle w:val="8"/>
          <w:b w:val="0"/>
          <w:lang w:val="en-US"/>
        </w:rPr>
        <w:t>World Bank.</w:t>
      </w:r>
      <w:r>
        <w:rPr>
          <w:lang w:val="en-US"/>
        </w:rPr>
        <w:t xml:space="preserve"> </w:t>
      </w:r>
      <w:r>
        <w:rPr>
          <w:rStyle w:val="6"/>
          <w:lang w:val="en-US"/>
        </w:rPr>
        <w:t>Technology Transfer and Commercialization Handbook.</w:t>
      </w:r>
      <w:r>
        <w:rPr>
          <w:lang w:val="en-US"/>
        </w:rPr>
        <w:t xml:space="preserve"> – Washington DC: World Bank, 2023. </w:t>
      </w:r>
      <w:r>
        <w:t>URL:</w:t>
      </w:r>
      <w:r>
        <w:rPr>
          <w:lang w:val="en-US"/>
        </w:rPr>
        <w:t xml:space="preserve">: </w:t>
      </w:r>
      <w:r>
        <w:fldChar w:fldCharType="begin"/>
      </w:r>
      <w:r>
        <w:instrText xml:space="preserve"> HYPERLINK "https://documents.worldbank.org" \t "_new" </w:instrText>
      </w:r>
      <w:r>
        <w:fldChar w:fldCharType="separate"/>
      </w:r>
      <w:r>
        <w:rPr>
          <w:rStyle w:val="7"/>
          <w:lang w:val="en-US"/>
        </w:rPr>
        <w:t>https://documents.worldbank.org</w:t>
      </w:r>
      <w:r>
        <w:rPr>
          <w:rStyle w:val="7"/>
          <w:lang w:val="en-US"/>
        </w:rPr>
        <w:fldChar w:fldCharType="end"/>
      </w:r>
    </w:p>
    <w:p w14:paraId="34B40347">
      <w:pPr>
        <w:pStyle w:val="12"/>
        <w:numPr>
          <w:ilvl w:val="0"/>
          <w:numId w:val="1"/>
        </w:numPr>
        <w:jc w:val="both"/>
        <w:rPr>
          <w:lang w:val="en-US"/>
        </w:rPr>
      </w:pPr>
      <w:r>
        <w:rPr>
          <w:rStyle w:val="8"/>
          <w:b w:val="0"/>
          <w:lang w:val="en-US"/>
        </w:rPr>
        <w:t>United Nations ESCAP / APCTT.</w:t>
      </w:r>
      <w:r>
        <w:rPr>
          <w:lang w:val="en-US"/>
        </w:rPr>
        <w:t xml:space="preserve"> </w:t>
      </w:r>
      <w:r>
        <w:rPr>
          <w:rStyle w:val="6"/>
          <w:lang w:val="en-US"/>
        </w:rPr>
        <w:t>Intellectual Property Management and Technology Licensing: Guidelines for Innovation Ecosystems.</w:t>
      </w:r>
      <w:r>
        <w:rPr>
          <w:lang w:val="en-US"/>
        </w:rPr>
        <w:t xml:space="preserve"> – Bangkok: UN APCTT, 2022.</w:t>
      </w:r>
    </w:p>
    <w:p w14:paraId="78EE8678">
      <w:pPr>
        <w:pStyle w:val="12"/>
        <w:numPr>
          <w:ilvl w:val="0"/>
          <w:numId w:val="1"/>
        </w:numPr>
        <w:jc w:val="both"/>
        <w:rPr>
          <w:lang w:val="en-US"/>
        </w:rPr>
      </w:pPr>
      <w:r>
        <w:rPr>
          <w:rStyle w:val="8"/>
          <w:b w:val="0"/>
          <w:lang w:val="en-US"/>
        </w:rPr>
        <w:t>WIPO TISC Reports 2022–2023.</w:t>
      </w:r>
      <w:r>
        <w:rPr>
          <w:lang w:val="en-US"/>
        </w:rPr>
        <w:t xml:space="preserve"> </w:t>
      </w:r>
      <w:r>
        <w:rPr>
          <w:rStyle w:val="6"/>
          <w:lang w:val="en-US"/>
        </w:rPr>
        <w:t>Technology and Innovation Support Centers (TISCs) Annual Report.</w:t>
      </w:r>
      <w:r>
        <w:rPr>
          <w:lang w:val="en-US"/>
        </w:rPr>
        <w:t xml:space="preserve"> Geneva: WIPO, 2023.</w:t>
      </w:r>
    </w:p>
    <w:p w14:paraId="71A994F7">
      <w:pPr>
        <w:pStyle w:val="12"/>
        <w:numPr>
          <w:ilvl w:val="0"/>
          <w:numId w:val="1"/>
        </w:numPr>
        <w:jc w:val="both"/>
      </w:pPr>
      <w:r>
        <w:rPr>
          <w:rStyle w:val="8"/>
          <w:b w:val="0"/>
        </w:rPr>
        <w:t>Віденєєв О. І., Князь С. В.</w:t>
      </w:r>
      <w:r>
        <w:t xml:space="preserve"> Управління інтелектуальною власністю в середовищі торговельних мереж. </w:t>
      </w:r>
      <w:r>
        <w:rPr>
          <w:rStyle w:val="6"/>
        </w:rPr>
        <w:t>Економіка</w:t>
      </w:r>
      <w:r>
        <w:rPr>
          <w:rStyle w:val="6"/>
          <w:lang w:val="en-US"/>
        </w:rPr>
        <w:t xml:space="preserve"> </w:t>
      </w:r>
      <w:r>
        <w:rPr>
          <w:rStyle w:val="6"/>
        </w:rPr>
        <w:t>і</w:t>
      </w:r>
      <w:r>
        <w:rPr>
          <w:rStyle w:val="6"/>
          <w:lang w:val="en-US"/>
        </w:rPr>
        <w:t xml:space="preserve"> </w:t>
      </w:r>
      <w:r>
        <w:rPr>
          <w:rStyle w:val="6"/>
        </w:rPr>
        <w:t>держава</w:t>
      </w:r>
      <w:r>
        <w:rPr>
          <w:rStyle w:val="6"/>
          <w:lang w:val="en-US"/>
        </w:rPr>
        <w:t>.</w:t>
      </w:r>
      <w:r>
        <w:rPr>
          <w:lang w:val="en-US"/>
        </w:rPr>
        <w:t xml:space="preserve"> 2023. № 4</w:t>
      </w:r>
      <w:r>
        <w:t>. С. 45–52.</w:t>
      </w:r>
    </w:p>
    <w:p w14:paraId="11C4ACD0">
      <w:pPr>
        <w:pStyle w:val="12"/>
        <w:numPr>
          <w:ilvl w:val="0"/>
          <w:numId w:val="1"/>
        </w:numPr>
        <w:jc w:val="both"/>
      </w:pPr>
      <w:r>
        <w:rPr>
          <w:rStyle w:val="8"/>
          <w:b w:val="0"/>
        </w:rPr>
        <w:t>Пасемко Г. В.</w:t>
      </w:r>
      <w:r>
        <w:t xml:space="preserve"> Управління інтелектуальною власністю та науковими проєктами в умовах воєнного часу. </w:t>
      </w:r>
      <w:r>
        <w:rPr>
          <w:rStyle w:val="6"/>
        </w:rPr>
        <w:t>Економічний простір.</w:t>
      </w:r>
      <w:r>
        <w:t xml:space="preserve"> 2025. № 184.  С. 12–21.</w:t>
      </w:r>
    </w:p>
    <w:p w14:paraId="41265C63">
      <w:pPr>
        <w:pStyle w:val="12"/>
        <w:numPr>
          <w:ilvl w:val="0"/>
          <w:numId w:val="1"/>
        </w:numPr>
        <w:jc w:val="both"/>
        <w:rPr>
          <w:lang w:val="en-US"/>
        </w:rPr>
      </w:pPr>
      <w:r>
        <w:rPr>
          <w:lang w:val="en-US"/>
        </w:rPr>
        <w:t xml:space="preserve"> </w:t>
      </w:r>
      <w:r>
        <w:rPr>
          <w:rStyle w:val="8"/>
          <w:b w:val="0"/>
          <w:lang w:val="en-US"/>
        </w:rPr>
        <w:t>Elgar E. (</w:t>
      </w:r>
      <w:r>
        <w:rPr>
          <w:rStyle w:val="8"/>
          <w:b w:val="0"/>
        </w:rPr>
        <w:t>ред</w:t>
      </w:r>
      <w:r>
        <w:rPr>
          <w:rStyle w:val="8"/>
          <w:b w:val="0"/>
          <w:lang w:val="en-US"/>
        </w:rPr>
        <w:t>.).</w:t>
      </w:r>
      <w:r>
        <w:rPr>
          <w:lang w:val="en-US"/>
        </w:rPr>
        <w:t xml:space="preserve"> </w:t>
      </w:r>
      <w:r>
        <w:rPr>
          <w:rStyle w:val="6"/>
          <w:lang w:val="en-US"/>
        </w:rPr>
        <w:t>Research Handbook on Intellectual Property and Technology Transfer.</w:t>
      </w:r>
      <w:r>
        <w:rPr>
          <w:lang w:val="en-US"/>
        </w:rPr>
        <w:t xml:space="preserve"> – Cheltenham: Edward Elgar Publishing, 2021. – 384 </w:t>
      </w:r>
      <w:r>
        <w:t>с</w:t>
      </w:r>
      <w:r>
        <w:rPr>
          <w:lang w:val="en-US"/>
        </w:rPr>
        <w:t>.</w:t>
      </w:r>
    </w:p>
    <w:p w14:paraId="77B31DF9">
      <w:pPr>
        <w:pStyle w:val="12"/>
        <w:numPr>
          <w:ilvl w:val="0"/>
          <w:numId w:val="1"/>
        </w:numPr>
        <w:jc w:val="both"/>
        <w:rPr>
          <w:lang w:val="en-US"/>
        </w:rPr>
      </w:pPr>
      <w:r>
        <w:rPr>
          <w:rStyle w:val="8"/>
          <w:b w:val="0"/>
          <w:lang w:val="en-US"/>
        </w:rPr>
        <w:t>OUP (</w:t>
      </w:r>
      <w:r>
        <w:rPr>
          <w:rStyle w:val="8"/>
          <w:b w:val="0"/>
        </w:rPr>
        <w:t>ред</w:t>
      </w:r>
      <w:r>
        <w:rPr>
          <w:rStyle w:val="8"/>
          <w:b w:val="0"/>
          <w:lang w:val="en-US"/>
        </w:rPr>
        <w:t>.).</w:t>
      </w:r>
      <w:r>
        <w:rPr>
          <w:lang w:val="en-US"/>
        </w:rPr>
        <w:t xml:space="preserve"> </w:t>
      </w:r>
      <w:r>
        <w:rPr>
          <w:rStyle w:val="6"/>
          <w:lang w:val="en-US"/>
        </w:rPr>
        <w:t>Handbook of Intellectual Property Research: Lenses, Methods and Perspectives.</w:t>
      </w:r>
      <w:r>
        <w:rPr>
          <w:lang w:val="en-US"/>
        </w:rPr>
        <w:t xml:space="preserve"> Oxford: Oxford University Press, 2021. 420 </w:t>
      </w:r>
      <w:r>
        <w:t>с</w:t>
      </w:r>
      <w:r>
        <w:rPr>
          <w:lang w:val="en-US"/>
        </w:rPr>
        <w:t>.</w:t>
      </w:r>
    </w:p>
    <w:p w14:paraId="44CD4544">
      <w:pPr>
        <w:shd w:val="clear" w:color="auto" w:fill="FFFFFF"/>
        <w:tabs>
          <w:tab w:val="left" w:pos="900"/>
        </w:tabs>
        <w:spacing w:after="0" w:line="228" w:lineRule="auto"/>
        <w:ind w:left="-48"/>
        <w:jc w:val="both"/>
        <w:rPr>
          <w:rFonts w:ascii="Times New Roman" w:hAnsi="Times New Roman" w:cs="Times New Roman"/>
          <w:sz w:val="24"/>
          <w:szCs w:val="24"/>
        </w:rPr>
      </w:pPr>
    </w:p>
    <w:p w14:paraId="508063A8">
      <w:pPr>
        <w:suppressAutoHyphens/>
        <w:spacing w:after="0" w:line="240" w:lineRule="auto"/>
        <w:ind w:firstLine="450"/>
        <w:jc w:val="both"/>
        <w:rPr>
          <w:rFonts w:ascii="Times New Roman" w:hAnsi="Times New Roman" w:eastAsia="Times New Roman" w:cs="Times New Roman"/>
          <w:i/>
          <w:iCs/>
          <w:sz w:val="24"/>
          <w:szCs w:val="24"/>
          <w:lang w:eastAsia="ru-RU"/>
        </w:rPr>
      </w:pPr>
    </w:p>
    <w:p w14:paraId="1CB62927">
      <w:pPr>
        <w:widowControl w:val="0"/>
        <w:tabs>
          <w:tab w:val="left" w:pos="851"/>
        </w:tabs>
        <w:spacing w:after="0" w:line="240" w:lineRule="auto"/>
        <w:jc w:val="center"/>
        <w:rPr>
          <w:rFonts w:ascii="Times New Roman" w:hAnsi="Times New Roman" w:eastAsia="SimSun" w:cs="Times New Roman"/>
          <w:b/>
          <w:bCs/>
          <w:i/>
          <w:color w:val="000000"/>
          <w:sz w:val="24"/>
          <w:szCs w:val="24"/>
          <w:lang w:eastAsia="uk-UA" w:bidi="uk-UA"/>
        </w:rPr>
      </w:pPr>
    </w:p>
    <w:p w14:paraId="2C6C4678">
      <w:pPr>
        <w:widowControl w:val="0"/>
        <w:tabs>
          <w:tab w:val="left" w:pos="851"/>
        </w:tabs>
        <w:spacing w:after="0" w:line="240" w:lineRule="auto"/>
        <w:jc w:val="both"/>
        <w:rPr>
          <w:rFonts w:ascii="Times New Roman" w:hAnsi="Times New Roman" w:cs="Times New Roman"/>
          <w:sz w:val="24"/>
          <w:szCs w:val="24"/>
        </w:rPr>
      </w:pPr>
      <w:r>
        <w:rPr>
          <w:rFonts w:ascii="Times New Roman" w:hAnsi="Times New Roman" w:eastAsia="SimSun" w:cs="Times New Roman"/>
          <w:b/>
          <w:bCs/>
          <w:i/>
          <w:color w:val="000000"/>
          <w:sz w:val="24"/>
          <w:szCs w:val="24"/>
          <w:lang w:eastAsia="uk-UA" w:bidi="uk-UA"/>
        </w:rPr>
        <w:tab/>
      </w:r>
      <w:r>
        <w:rPr>
          <w:rFonts w:ascii="Times New Roman" w:hAnsi="Times New Roman" w:cs="Times New Roman"/>
          <w:sz w:val="24"/>
          <w:szCs w:val="24"/>
        </w:rPr>
        <w:t xml:space="preserve"> </w:t>
      </w:r>
    </w:p>
    <w:p w14:paraId="50D836D8">
      <w:pPr>
        <w:rPr>
          <w:rFonts w:ascii="Times New Roman" w:hAnsi="Times New Roman" w:cs="Times New Roman"/>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C1DF0"/>
    <w:multiLevelType w:val="multilevel"/>
    <w:tmpl w:val="3BEC1DF0"/>
    <w:lvl w:ilvl="0" w:tentative="0">
      <w:start w:val="1"/>
      <w:numFmt w:val="decimal"/>
      <w:lvlText w:val="%1."/>
      <w:lvlJc w:val="left"/>
      <w:pPr>
        <w:ind w:left="236" w:hanging="284"/>
      </w:pPr>
      <w:rPr>
        <w:rFonts w:hint="default" w:ascii="Times New Roman" w:hAnsi="Times New Roman" w:eastAsia="Times New Roman" w:cs="Times New Roman"/>
        <w:w w:val="99"/>
        <w:sz w:val="22"/>
        <w:szCs w:val="22"/>
        <w:lang w:val="ru-RU" w:eastAsia="en-US" w:bidi="ar-SA"/>
      </w:rPr>
    </w:lvl>
    <w:lvl w:ilvl="1" w:tentative="0">
      <w:start w:val="0"/>
      <w:numFmt w:val="bullet"/>
      <w:lvlText w:val="•"/>
      <w:lvlJc w:val="left"/>
      <w:pPr>
        <w:ind w:left="1230" w:hanging="284"/>
      </w:pPr>
      <w:rPr>
        <w:rFonts w:hint="default"/>
        <w:lang w:val="uk-UA" w:eastAsia="en-US" w:bidi="ar-SA"/>
      </w:rPr>
    </w:lvl>
    <w:lvl w:ilvl="2" w:tentative="0">
      <w:start w:val="0"/>
      <w:numFmt w:val="bullet"/>
      <w:lvlText w:val="•"/>
      <w:lvlJc w:val="left"/>
      <w:pPr>
        <w:ind w:left="2220" w:hanging="284"/>
      </w:pPr>
      <w:rPr>
        <w:rFonts w:hint="default"/>
        <w:lang w:val="uk-UA" w:eastAsia="en-US" w:bidi="ar-SA"/>
      </w:rPr>
    </w:lvl>
    <w:lvl w:ilvl="3" w:tentative="0">
      <w:start w:val="0"/>
      <w:numFmt w:val="bullet"/>
      <w:lvlText w:val="•"/>
      <w:lvlJc w:val="left"/>
      <w:pPr>
        <w:ind w:left="3210" w:hanging="284"/>
      </w:pPr>
      <w:rPr>
        <w:rFonts w:hint="default"/>
        <w:lang w:val="uk-UA" w:eastAsia="en-US" w:bidi="ar-SA"/>
      </w:rPr>
    </w:lvl>
    <w:lvl w:ilvl="4" w:tentative="0">
      <w:start w:val="0"/>
      <w:numFmt w:val="bullet"/>
      <w:lvlText w:val="•"/>
      <w:lvlJc w:val="left"/>
      <w:pPr>
        <w:ind w:left="4200" w:hanging="284"/>
      </w:pPr>
      <w:rPr>
        <w:rFonts w:hint="default"/>
        <w:lang w:val="uk-UA" w:eastAsia="en-US" w:bidi="ar-SA"/>
      </w:rPr>
    </w:lvl>
    <w:lvl w:ilvl="5" w:tentative="0">
      <w:start w:val="0"/>
      <w:numFmt w:val="bullet"/>
      <w:lvlText w:val="•"/>
      <w:lvlJc w:val="left"/>
      <w:pPr>
        <w:ind w:left="5190" w:hanging="284"/>
      </w:pPr>
      <w:rPr>
        <w:rFonts w:hint="default"/>
        <w:lang w:val="uk-UA" w:eastAsia="en-US" w:bidi="ar-SA"/>
      </w:rPr>
    </w:lvl>
    <w:lvl w:ilvl="6" w:tentative="0">
      <w:start w:val="0"/>
      <w:numFmt w:val="bullet"/>
      <w:lvlText w:val="•"/>
      <w:lvlJc w:val="left"/>
      <w:pPr>
        <w:ind w:left="6180" w:hanging="284"/>
      </w:pPr>
      <w:rPr>
        <w:rFonts w:hint="default"/>
        <w:lang w:val="uk-UA" w:eastAsia="en-US" w:bidi="ar-SA"/>
      </w:rPr>
    </w:lvl>
    <w:lvl w:ilvl="7" w:tentative="0">
      <w:start w:val="0"/>
      <w:numFmt w:val="bullet"/>
      <w:lvlText w:val="•"/>
      <w:lvlJc w:val="left"/>
      <w:pPr>
        <w:ind w:left="7170" w:hanging="284"/>
      </w:pPr>
      <w:rPr>
        <w:rFonts w:hint="default"/>
        <w:lang w:val="uk-UA" w:eastAsia="en-US" w:bidi="ar-SA"/>
      </w:rPr>
    </w:lvl>
    <w:lvl w:ilvl="8" w:tentative="0">
      <w:start w:val="0"/>
      <w:numFmt w:val="bullet"/>
      <w:lvlText w:val="•"/>
      <w:lvlJc w:val="left"/>
      <w:pPr>
        <w:ind w:left="8160" w:hanging="28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F2"/>
    <w:rsid w:val="00010E4C"/>
    <w:rsid w:val="000436C0"/>
    <w:rsid w:val="00051430"/>
    <w:rsid w:val="00064CFE"/>
    <w:rsid w:val="00085268"/>
    <w:rsid w:val="000C670F"/>
    <w:rsid w:val="000E58ED"/>
    <w:rsid w:val="000F7CA0"/>
    <w:rsid w:val="00102680"/>
    <w:rsid w:val="00161C6B"/>
    <w:rsid w:val="00165E30"/>
    <w:rsid w:val="001831CC"/>
    <w:rsid w:val="00187DDE"/>
    <w:rsid w:val="001A3B84"/>
    <w:rsid w:val="001A740B"/>
    <w:rsid w:val="001B2E55"/>
    <w:rsid w:val="001D7BB0"/>
    <w:rsid w:val="001E605B"/>
    <w:rsid w:val="00201961"/>
    <w:rsid w:val="002109E2"/>
    <w:rsid w:val="00214AF3"/>
    <w:rsid w:val="002217DA"/>
    <w:rsid w:val="00222F29"/>
    <w:rsid w:val="00283902"/>
    <w:rsid w:val="002A1652"/>
    <w:rsid w:val="002B1B51"/>
    <w:rsid w:val="002B24D3"/>
    <w:rsid w:val="002D6634"/>
    <w:rsid w:val="00322FD3"/>
    <w:rsid w:val="00332E96"/>
    <w:rsid w:val="00340064"/>
    <w:rsid w:val="00344343"/>
    <w:rsid w:val="003934E0"/>
    <w:rsid w:val="004071DA"/>
    <w:rsid w:val="0041139C"/>
    <w:rsid w:val="00412A92"/>
    <w:rsid w:val="00430753"/>
    <w:rsid w:val="00435258"/>
    <w:rsid w:val="00450CAA"/>
    <w:rsid w:val="004570B3"/>
    <w:rsid w:val="004939CD"/>
    <w:rsid w:val="004D0DF7"/>
    <w:rsid w:val="004E6E2C"/>
    <w:rsid w:val="005307E6"/>
    <w:rsid w:val="00532D94"/>
    <w:rsid w:val="005452F4"/>
    <w:rsid w:val="00545FCC"/>
    <w:rsid w:val="00566270"/>
    <w:rsid w:val="005777B9"/>
    <w:rsid w:val="005826A1"/>
    <w:rsid w:val="00584E8E"/>
    <w:rsid w:val="005A4A41"/>
    <w:rsid w:val="005C3F6E"/>
    <w:rsid w:val="005F3688"/>
    <w:rsid w:val="00612F7F"/>
    <w:rsid w:val="00614374"/>
    <w:rsid w:val="006154B3"/>
    <w:rsid w:val="00625DD2"/>
    <w:rsid w:val="006461AA"/>
    <w:rsid w:val="00661626"/>
    <w:rsid w:val="00663904"/>
    <w:rsid w:val="006937A0"/>
    <w:rsid w:val="006941C4"/>
    <w:rsid w:val="00695161"/>
    <w:rsid w:val="006A0F33"/>
    <w:rsid w:val="006A229E"/>
    <w:rsid w:val="006A6B16"/>
    <w:rsid w:val="006B1257"/>
    <w:rsid w:val="006B442A"/>
    <w:rsid w:val="006C0F81"/>
    <w:rsid w:val="006C75C7"/>
    <w:rsid w:val="006D53E2"/>
    <w:rsid w:val="006F0C7A"/>
    <w:rsid w:val="006F257C"/>
    <w:rsid w:val="00703651"/>
    <w:rsid w:val="00735AF2"/>
    <w:rsid w:val="00745E2C"/>
    <w:rsid w:val="00747D26"/>
    <w:rsid w:val="007505ED"/>
    <w:rsid w:val="007541E0"/>
    <w:rsid w:val="00775C6B"/>
    <w:rsid w:val="007A2A22"/>
    <w:rsid w:val="007C0A3A"/>
    <w:rsid w:val="007E1003"/>
    <w:rsid w:val="00805FA7"/>
    <w:rsid w:val="00830514"/>
    <w:rsid w:val="00844CCB"/>
    <w:rsid w:val="0085331F"/>
    <w:rsid w:val="0086757F"/>
    <w:rsid w:val="00884641"/>
    <w:rsid w:val="008A1740"/>
    <w:rsid w:val="008A4C32"/>
    <w:rsid w:val="008B0695"/>
    <w:rsid w:val="008B1B9E"/>
    <w:rsid w:val="008C1773"/>
    <w:rsid w:val="008C5A4D"/>
    <w:rsid w:val="008E41C0"/>
    <w:rsid w:val="00904EBD"/>
    <w:rsid w:val="00905C10"/>
    <w:rsid w:val="00957800"/>
    <w:rsid w:val="00961A66"/>
    <w:rsid w:val="00976961"/>
    <w:rsid w:val="009950B8"/>
    <w:rsid w:val="009C382E"/>
    <w:rsid w:val="009C70C0"/>
    <w:rsid w:val="009C75F9"/>
    <w:rsid w:val="009D1E80"/>
    <w:rsid w:val="009E0980"/>
    <w:rsid w:val="009E0EB2"/>
    <w:rsid w:val="00A041F5"/>
    <w:rsid w:val="00A16B20"/>
    <w:rsid w:val="00A71D23"/>
    <w:rsid w:val="00A7248C"/>
    <w:rsid w:val="00A736A8"/>
    <w:rsid w:val="00A80EF9"/>
    <w:rsid w:val="00AA1BA0"/>
    <w:rsid w:val="00B03B52"/>
    <w:rsid w:val="00B4782B"/>
    <w:rsid w:val="00B5454F"/>
    <w:rsid w:val="00B577A7"/>
    <w:rsid w:val="00B60577"/>
    <w:rsid w:val="00BB60EF"/>
    <w:rsid w:val="00BB76FF"/>
    <w:rsid w:val="00BC02D1"/>
    <w:rsid w:val="00BC4E7A"/>
    <w:rsid w:val="00BD5CD4"/>
    <w:rsid w:val="00BD6981"/>
    <w:rsid w:val="00CA669C"/>
    <w:rsid w:val="00CA6F6A"/>
    <w:rsid w:val="00CD1C44"/>
    <w:rsid w:val="00CF69DB"/>
    <w:rsid w:val="00D51EB4"/>
    <w:rsid w:val="00DA3AD7"/>
    <w:rsid w:val="00DB3B63"/>
    <w:rsid w:val="00DC7DDD"/>
    <w:rsid w:val="00DF7B82"/>
    <w:rsid w:val="00E072F2"/>
    <w:rsid w:val="00E1448D"/>
    <w:rsid w:val="00E1707A"/>
    <w:rsid w:val="00E22759"/>
    <w:rsid w:val="00E51D29"/>
    <w:rsid w:val="00E83C4A"/>
    <w:rsid w:val="00EA0FA2"/>
    <w:rsid w:val="00EB10F7"/>
    <w:rsid w:val="00ED0562"/>
    <w:rsid w:val="00EE142A"/>
    <w:rsid w:val="00EF43F6"/>
    <w:rsid w:val="00F0512A"/>
    <w:rsid w:val="00F32B0F"/>
    <w:rsid w:val="00F4311B"/>
    <w:rsid w:val="00F53F04"/>
    <w:rsid w:val="00F554DA"/>
    <w:rsid w:val="00F61796"/>
    <w:rsid w:val="00F77354"/>
    <w:rsid w:val="00F9507A"/>
    <w:rsid w:val="067D108F"/>
    <w:rsid w:val="5F7E2D89"/>
    <w:rsid w:val="6E123F2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25"/>
    <w:qFormat/>
    <w:uiPriority w:val="9"/>
    <w:pPr>
      <w:keepNext/>
      <w:spacing w:before="240" w:after="60" w:line="240" w:lineRule="auto"/>
      <w:outlineLvl w:val="0"/>
    </w:pPr>
    <w:rPr>
      <w:rFonts w:ascii="Arial" w:hAnsi="Arial" w:eastAsia="Times New Roman" w:cs="Arial"/>
      <w:b/>
      <w:bCs/>
      <w:kern w:val="32"/>
      <w:sz w:val="32"/>
      <w:szCs w:val="32"/>
      <w:lang w:val="ru-RU"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954F72" w:themeColor="followedHyperlink"/>
      <w:u w:val="single"/>
      <w14:textFill>
        <w14:solidFill>
          <w14:schemeClr w14:val="folHlink"/>
        </w14:solidFill>
      </w14:textFill>
    </w:rPr>
  </w:style>
  <w:style w:type="character" w:styleId="6">
    <w:name w:val="Emphasis"/>
    <w:basedOn w:val="3"/>
    <w:qFormat/>
    <w:uiPriority w:val="20"/>
    <w:rPr>
      <w:i/>
      <w:iCs/>
    </w:rPr>
  </w:style>
  <w:style w:type="character" w:styleId="7">
    <w:name w:val="Hyperlink"/>
    <w:basedOn w:val="3"/>
    <w:unhideWhenUsed/>
    <w:qFormat/>
    <w:uiPriority w:val="99"/>
    <w:rPr>
      <w:color w:val="0563C1" w:themeColor="hyperlink"/>
      <w:u w:val="single"/>
      <w14:textFill>
        <w14:solidFill>
          <w14:schemeClr w14:val="hlink"/>
        </w14:solidFill>
      </w14:textFill>
    </w:rPr>
  </w:style>
  <w:style w:type="character" w:styleId="8">
    <w:name w:val="Strong"/>
    <w:basedOn w:val="3"/>
    <w:qFormat/>
    <w:uiPriority w:val="22"/>
    <w:rPr>
      <w:b/>
      <w:bCs/>
    </w:rPr>
  </w:style>
  <w:style w:type="paragraph" w:styleId="9">
    <w:name w:val="Balloon Text"/>
    <w:basedOn w:val="1"/>
    <w:link w:val="24"/>
    <w:semiHidden/>
    <w:unhideWhenUsed/>
    <w:qFormat/>
    <w:uiPriority w:val="99"/>
    <w:pPr>
      <w:spacing w:after="0" w:line="240" w:lineRule="auto"/>
    </w:pPr>
    <w:rPr>
      <w:rFonts w:ascii="Tahoma" w:hAnsi="Tahoma" w:cs="Tahoma"/>
      <w:sz w:val="16"/>
      <w:szCs w:val="16"/>
    </w:rPr>
  </w:style>
  <w:style w:type="paragraph" w:styleId="10">
    <w:name w:val="header"/>
    <w:basedOn w:val="1"/>
    <w:link w:val="22"/>
    <w:unhideWhenUsed/>
    <w:uiPriority w:val="99"/>
    <w:pPr>
      <w:tabs>
        <w:tab w:val="center" w:pos="4819"/>
        <w:tab w:val="right" w:pos="9639"/>
      </w:tabs>
      <w:spacing w:after="0" w:line="240" w:lineRule="auto"/>
    </w:pPr>
  </w:style>
  <w:style w:type="paragraph" w:styleId="11">
    <w:name w:val="footer"/>
    <w:basedOn w:val="1"/>
    <w:link w:val="18"/>
    <w:unhideWhenUsed/>
    <w:qFormat/>
    <w:uiPriority w:val="99"/>
    <w:pPr>
      <w:widowControl w:val="0"/>
      <w:tabs>
        <w:tab w:val="center" w:pos="4819"/>
        <w:tab w:val="right" w:pos="9639"/>
      </w:tabs>
      <w:spacing w:after="0" w:line="240" w:lineRule="auto"/>
    </w:pPr>
    <w:rPr>
      <w:rFonts w:ascii="Courier New" w:hAnsi="Courier New" w:eastAsia="Courier New" w:cs="Courier New"/>
      <w:color w:val="000000"/>
      <w:sz w:val="24"/>
      <w:szCs w:val="24"/>
      <w:lang w:eastAsia="uk-UA" w:bidi="uk-UA"/>
    </w:rPr>
  </w:style>
  <w:style w:type="paragraph" w:styleId="12">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13">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Подпись к картинке_"/>
    <w:basedOn w:val="3"/>
    <w:link w:val="15"/>
    <w:qFormat/>
    <w:uiPriority w:val="0"/>
    <w:rPr>
      <w:rFonts w:ascii="Times New Roman" w:hAnsi="Times New Roman" w:eastAsia="Times New Roman" w:cs="Times New Roman"/>
      <w:shd w:val="clear" w:color="auto" w:fill="FFFFFF"/>
    </w:rPr>
  </w:style>
  <w:style w:type="paragraph" w:customStyle="1" w:styleId="15">
    <w:name w:val="Подпись к картинке"/>
    <w:basedOn w:val="1"/>
    <w:link w:val="14"/>
    <w:qFormat/>
    <w:uiPriority w:val="0"/>
    <w:pPr>
      <w:widowControl w:val="0"/>
      <w:shd w:val="clear" w:color="auto" w:fill="FFFFFF"/>
      <w:spacing w:after="0" w:line="235" w:lineRule="auto"/>
      <w:ind w:firstLine="80"/>
    </w:pPr>
    <w:rPr>
      <w:rFonts w:ascii="Times New Roman" w:hAnsi="Times New Roman" w:eastAsia="Times New Roman" w:cs="Times New Roman"/>
    </w:rPr>
  </w:style>
  <w:style w:type="character" w:customStyle="1" w:styleId="16">
    <w:name w:val="Основной текст_"/>
    <w:basedOn w:val="3"/>
    <w:link w:val="17"/>
    <w:qFormat/>
    <w:uiPriority w:val="0"/>
    <w:rPr>
      <w:rFonts w:ascii="Times New Roman" w:hAnsi="Times New Roman" w:eastAsia="Times New Roman" w:cs="Times New Roman"/>
      <w:shd w:val="clear" w:color="auto" w:fill="FFFFFF"/>
    </w:rPr>
  </w:style>
  <w:style w:type="paragraph" w:customStyle="1" w:styleId="17">
    <w:name w:val="Основной текст1"/>
    <w:basedOn w:val="1"/>
    <w:link w:val="16"/>
    <w:qFormat/>
    <w:uiPriority w:val="0"/>
    <w:pPr>
      <w:widowControl w:val="0"/>
      <w:shd w:val="clear" w:color="auto" w:fill="FFFFFF"/>
      <w:spacing w:after="0" w:line="240" w:lineRule="auto"/>
    </w:pPr>
    <w:rPr>
      <w:rFonts w:ascii="Times New Roman" w:hAnsi="Times New Roman" w:eastAsia="Times New Roman" w:cs="Times New Roman"/>
    </w:rPr>
  </w:style>
  <w:style w:type="character" w:customStyle="1" w:styleId="18">
    <w:name w:val="Нижний колонтитул Знак"/>
    <w:basedOn w:val="3"/>
    <w:link w:val="11"/>
    <w:uiPriority w:val="99"/>
    <w:rPr>
      <w:rFonts w:ascii="Courier New" w:hAnsi="Courier New" w:eastAsia="Courier New" w:cs="Courier New"/>
      <w:color w:val="000000"/>
      <w:sz w:val="24"/>
      <w:szCs w:val="24"/>
      <w:lang w:eastAsia="uk-UA" w:bidi="uk-UA"/>
    </w:rPr>
  </w:style>
  <w:style w:type="paragraph" w:styleId="19">
    <w:name w:val="List Paragraph"/>
    <w:basedOn w:val="1"/>
    <w:qFormat/>
    <w:uiPriority w:val="34"/>
    <w:pPr>
      <w:ind w:left="720"/>
      <w:contextualSpacing/>
    </w:pPr>
  </w:style>
  <w:style w:type="paragraph" w:customStyle="1" w:styleId="20">
    <w:name w:val="Standard"/>
    <w:qFormat/>
    <w:uiPriority w:val="0"/>
    <w:pPr>
      <w:suppressAutoHyphens/>
      <w:autoSpaceDN w:val="0"/>
      <w:spacing w:after="0" w:line="240" w:lineRule="auto"/>
    </w:pPr>
    <w:rPr>
      <w:rFonts w:ascii="Times New Roman" w:hAnsi="Times New Roman" w:eastAsia="Times New Roman" w:cs="Times New Roman"/>
      <w:kern w:val="2"/>
      <w:sz w:val="24"/>
      <w:szCs w:val="24"/>
      <w:lang w:val="en-US" w:eastAsia="zh-CN" w:bidi="ar-SA"/>
    </w:rPr>
  </w:style>
  <w:style w:type="paragraph" w:customStyle="1" w:styleId="21">
    <w:name w:val="Default"/>
    <w:qFormat/>
    <w:uiPriority w:val="0"/>
    <w:pPr>
      <w:autoSpaceDE w:val="0"/>
      <w:autoSpaceDN w:val="0"/>
      <w:adjustRightInd w:val="0"/>
      <w:spacing w:after="0" w:line="240" w:lineRule="auto"/>
    </w:pPr>
    <w:rPr>
      <w:rFonts w:ascii="Calibri" w:hAnsi="Calibri" w:eastAsia="Times New Roman" w:cs="Calibri"/>
      <w:color w:val="000000"/>
      <w:sz w:val="24"/>
      <w:szCs w:val="24"/>
      <w:lang w:val="ru-RU" w:eastAsia="ru-RU" w:bidi="ar-SA"/>
    </w:rPr>
  </w:style>
  <w:style w:type="character" w:customStyle="1" w:styleId="22">
    <w:name w:val="Верхний колонтитул Знак"/>
    <w:basedOn w:val="3"/>
    <w:link w:val="10"/>
    <w:qFormat/>
    <w:uiPriority w:val="99"/>
  </w:style>
  <w:style w:type="character" w:customStyle="1" w:styleId="23">
    <w:name w:val="Незакрита згадка1"/>
    <w:basedOn w:val="3"/>
    <w:semiHidden/>
    <w:unhideWhenUsed/>
    <w:qFormat/>
    <w:uiPriority w:val="99"/>
    <w:rPr>
      <w:color w:val="605E5C"/>
      <w:shd w:val="clear" w:color="auto" w:fill="E1DFDD"/>
    </w:rPr>
  </w:style>
  <w:style w:type="character" w:customStyle="1" w:styleId="24">
    <w:name w:val="Текст выноски Знак"/>
    <w:basedOn w:val="3"/>
    <w:link w:val="9"/>
    <w:semiHidden/>
    <w:qFormat/>
    <w:uiPriority w:val="99"/>
    <w:rPr>
      <w:rFonts w:ascii="Tahoma" w:hAnsi="Tahoma" w:cs="Tahoma"/>
      <w:sz w:val="16"/>
      <w:szCs w:val="16"/>
    </w:rPr>
  </w:style>
  <w:style w:type="character" w:customStyle="1" w:styleId="25">
    <w:name w:val="Заголовок 1 Знак"/>
    <w:basedOn w:val="3"/>
    <w:link w:val="2"/>
    <w:qFormat/>
    <w:uiPriority w:val="9"/>
    <w:rPr>
      <w:rFonts w:ascii="Arial" w:hAnsi="Arial" w:eastAsia="Times New Roman" w:cs="Arial"/>
      <w:b/>
      <w:bCs/>
      <w:kern w:val="32"/>
      <w:sz w:val="32"/>
      <w:szCs w:val="32"/>
      <w:lang w:val="ru-RU" w:eastAsia="ru-RU"/>
    </w:rPr>
  </w:style>
  <w:style w:type="table" w:customStyle="1" w:styleId="26">
    <w:name w:val="_Style 39"/>
    <w:basedOn w:val="27"/>
    <w:qFormat/>
    <w:uiPriority w:val="0"/>
    <w:tblPr>
      <w:tblCellMar>
        <w:top w:w="0" w:type="dxa"/>
        <w:left w:w="0" w:type="dxa"/>
        <w:bottom w:w="0" w:type="dxa"/>
        <w:right w:w="0" w:type="dxa"/>
      </w:tblCellMar>
    </w:tblPr>
  </w:style>
  <w:style w:type="table" w:customStyle="1" w:styleId="27">
    <w:name w:val="TableNormal"/>
    <w:qFormat/>
    <w:uiPriority w:val="0"/>
    <w:tblPr>
      <w:tblCellMar>
        <w:top w:w="100" w:type="dxa"/>
        <w:left w:w="100" w:type="dxa"/>
        <w:bottom w:w="100" w:type="dxa"/>
        <w:right w:w="100" w:type="dxa"/>
      </w:tblCellMar>
    </w:tblPr>
  </w:style>
  <w:style w:type="table" w:customStyle="1" w:styleId="28">
    <w:name w:val="_Style 40"/>
    <w:basedOn w:val="27"/>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C4F1-13BD-4526-B662-19EB471600D4}">
  <ds:schemaRefs/>
</ds:datastoreItem>
</file>

<file path=docProps/app.xml><?xml version="1.0" encoding="utf-8"?>
<Properties xmlns="http://schemas.openxmlformats.org/officeDocument/2006/extended-properties" xmlns:vt="http://schemas.openxmlformats.org/officeDocument/2006/docPropsVTypes">
  <Template>Normal</Template>
  <Pages>12</Pages>
  <Words>5539</Words>
  <Characters>31574</Characters>
  <Lines>263</Lines>
  <Paragraphs>74</Paragraphs>
  <TotalTime>3</TotalTime>
  <ScaleCrop>false</ScaleCrop>
  <LinksUpToDate>false</LinksUpToDate>
  <CharactersWithSpaces>37039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2025-11-05T15:02:00Z</dcterms:created>
  <dc:creator>ASUS</dc:creator>
  <cp:lastModifiedBy>sliepykh.kateryna</cp:lastModifiedBy>
  <dcterms:modified xsi:type="dcterms:W3CDTF">2026-01-20T09:29:03Z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923CBF4791194DB5B803CC948E153DAB_12</vt:lpwstr>
  </property>
</Properties>
</file>